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347A499"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226382">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2638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R4-25</w:t>
      </w:r>
      <w:r w:rsidR="00287431">
        <w:rPr>
          <w:rFonts w:ascii="Arial" w:eastAsiaTheme="minorEastAsia" w:hAnsi="Arial" w:cs="Arial"/>
          <w:b/>
          <w:sz w:val="24"/>
          <w:szCs w:val="24"/>
          <w:lang w:eastAsia="zh-CN"/>
        </w:rPr>
        <w:t>21091</w:t>
      </w:r>
    </w:p>
    <w:p w14:paraId="5EE5A418" w14:textId="77777777" w:rsidR="00805757" w:rsidRDefault="00805757" w:rsidP="00805757">
      <w:pPr>
        <w:spacing w:after="60" w:line="240" w:lineRule="auto"/>
        <w:ind w:left="1985" w:hanging="1985"/>
        <w:rPr>
          <w:rFonts w:ascii="Arial" w:eastAsiaTheme="minorEastAsia" w:hAnsi="Arial" w:cs="Arial"/>
          <w:b/>
          <w:sz w:val="24"/>
          <w:szCs w:val="24"/>
          <w:lang w:eastAsia="zh-CN"/>
        </w:rPr>
      </w:pPr>
      <w:r>
        <w:rPr>
          <w:rFonts w:ascii="Arial" w:hAnsi="Arial" w:cs="Arial"/>
          <w:b/>
          <w:sz w:val="24"/>
          <w:szCs w:val="24"/>
          <w:lang w:eastAsia="zh-CN"/>
        </w:rPr>
        <w:t>Dallas, USA, Nov. 17-21</w:t>
      </w:r>
      <w:r w:rsidRPr="00F542A0">
        <w:rPr>
          <w:rFonts w:ascii="Arial" w:hAnsi="Arial" w:cs="Arial"/>
          <w:b/>
          <w:sz w:val="24"/>
          <w:szCs w:val="24"/>
          <w:lang w:eastAsia="zh-CN"/>
        </w:rPr>
        <w:t>, 202</w:t>
      </w:r>
      <w:r>
        <w:rPr>
          <w:rFonts w:ascii="Arial" w:hAnsi="Arial"/>
          <w:b/>
          <w:sz w:val="24"/>
          <w:szCs w:val="24"/>
          <w:lang w:eastAsia="zh-CN"/>
        </w:rPr>
        <w:t>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4D88924F"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54E72">
        <w:rPr>
          <w:rFonts w:ascii="Arial" w:eastAsiaTheme="minorEastAsia" w:hAnsi="Arial" w:cs="Arial"/>
          <w:color w:val="000000"/>
          <w:sz w:val="22"/>
          <w:lang w:eastAsia="zh-CN"/>
        </w:rPr>
        <w:t>7.3.3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F630B31"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Discussion on test method for NTN</w:t>
      </w:r>
      <w:r w:rsidR="000258D4">
        <w:rPr>
          <w:rFonts w:ascii="Arial" w:eastAsia="Malgun Gothic" w:hAnsi="Arial" w:cs="Arial"/>
          <w:sz w:val="22"/>
          <w:lang w:eastAsia="ko-KR"/>
        </w:rPr>
        <w:t xml:space="preserve"> VSAT at </w:t>
      </w:r>
      <w:r w:rsidR="00C54E72" w:rsidRPr="00C54E72">
        <w:rPr>
          <w:rFonts w:ascii="Arial" w:eastAsia="Malgun Gothic" w:hAnsi="Arial" w:cs="Arial"/>
          <w:sz w:val="22"/>
          <w:lang w:eastAsia="ko-KR"/>
        </w:rPr>
        <w:t>Ka and Ku bands</w:t>
      </w:r>
    </w:p>
    <w:p w14:paraId="4875F599" w14:textId="4F6D390A"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r w:rsidR="00CD0F4A">
        <w:rPr>
          <w:rFonts w:ascii="Arial" w:eastAsiaTheme="minorEastAsia" w:hAnsi="Arial" w:cs="Arial"/>
          <w:color w:val="000000"/>
          <w:sz w:val="22"/>
          <w:lang w:eastAsia="zh-CN"/>
        </w:rPr>
        <w:t xml:space="preserve"> &amp; 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23E23CD6" w:rsidR="00914752" w:rsidRDefault="0088566C" w:rsidP="00695B13">
      <w:pPr>
        <w:jc w:val="left"/>
        <w:rPr>
          <w:lang w:eastAsia="zh-CN"/>
        </w:rPr>
      </w:pPr>
      <w:r>
        <w:rPr>
          <w:lang w:eastAsia="zh-CN"/>
        </w:rPr>
        <w:t>The core part for Rel-20 UE OTA is focused on VSAT test method in Ka and Ku bands [1, RP</w:t>
      </w:r>
      <w:r w:rsidR="0023062A">
        <w:rPr>
          <w:lang w:eastAsia="zh-CN"/>
        </w:rPr>
        <w:t>-</w:t>
      </w:r>
      <w:r>
        <w:rPr>
          <w:lang w:eastAsia="zh-CN"/>
        </w:rPr>
        <w:t>252903]</w:t>
      </w:r>
    </w:p>
    <w:tbl>
      <w:tblPr>
        <w:tblStyle w:val="afd"/>
        <w:tblW w:w="0" w:type="auto"/>
        <w:tblLook w:val="04A0" w:firstRow="1" w:lastRow="0" w:firstColumn="1" w:lastColumn="0" w:noHBand="0" w:noVBand="1"/>
      </w:tblPr>
      <w:tblGrid>
        <w:gridCol w:w="9631"/>
      </w:tblGrid>
      <w:tr w:rsidR="000258D4" w:rsidRPr="000258D4" w14:paraId="235DE358" w14:textId="77777777" w:rsidTr="0088566C">
        <w:tc>
          <w:tcPr>
            <w:tcW w:w="9631" w:type="dxa"/>
          </w:tcPr>
          <w:p w14:paraId="63E76083" w14:textId="77777777" w:rsidR="0088566C" w:rsidRPr="00BF2336" w:rsidRDefault="0088566C" w:rsidP="0088566C">
            <w:pPr>
              <w:pStyle w:val="aff6"/>
              <w:widowControl w:val="0"/>
              <w:numPr>
                <w:ilvl w:val="0"/>
                <w:numId w:val="38"/>
              </w:numPr>
              <w:overflowPunct/>
              <w:autoSpaceDE/>
              <w:autoSpaceDN/>
              <w:adjustRightInd/>
              <w:spacing w:after="120" w:line="240" w:lineRule="auto"/>
              <w:ind w:firstLineChars="0"/>
              <w:contextualSpacing/>
              <w:textAlignment w:val="auto"/>
            </w:pPr>
            <w:r w:rsidRPr="00BF2336">
              <w:t xml:space="preserve">Define </w:t>
            </w:r>
            <w:r>
              <w:rPr>
                <w:rFonts w:hint="eastAsia"/>
              </w:rPr>
              <w:t xml:space="preserve">enhanced </w:t>
            </w:r>
            <w:r w:rsidRPr="00BF2336">
              <w:t xml:space="preserve">test methodologies to cover NTN Ka and Ku bands </w:t>
            </w:r>
          </w:p>
          <w:p w14:paraId="3E6E6E9C"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Study how to extend the applicability of RAN4 defined OTA test methods</w:t>
            </w:r>
            <w:r>
              <w:rPr>
                <w:rFonts w:hint="eastAsia"/>
              </w:rPr>
              <w:t xml:space="preserve"> to support Ku and Ka testing</w:t>
            </w:r>
          </w:p>
          <w:p w14:paraId="2D963B87"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FR2 OTA test methods (DFF, IFF, NFTF) extension is the first priority</w:t>
            </w:r>
          </w:p>
          <w:p w14:paraId="7776703F"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FR1 OTA test method extension is not precluded, if also applicable</w:t>
            </w:r>
          </w:p>
          <w:p w14:paraId="15BD28A9"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Study whether and how to support circular polarization measurements</w:t>
            </w:r>
          </w:p>
          <w:p w14:paraId="14CD93F8" w14:textId="77777777" w:rsidR="0088566C" w:rsidRPr="00BF2336" w:rsidRDefault="0088566C" w:rsidP="0088566C">
            <w:pPr>
              <w:pStyle w:val="aff6"/>
              <w:widowControl w:val="0"/>
              <w:numPr>
                <w:ilvl w:val="2"/>
                <w:numId w:val="38"/>
              </w:numPr>
              <w:spacing w:after="120" w:line="240" w:lineRule="auto"/>
              <w:ind w:left="2154" w:firstLineChars="0" w:hanging="357"/>
              <w:contextualSpacing/>
            </w:pPr>
            <w:r w:rsidRPr="00BF2336">
              <w:t>Linear polarization is the baseline</w:t>
            </w:r>
          </w:p>
          <w:p w14:paraId="2DB249E4" w14:textId="77777777" w:rsidR="0088566C" w:rsidRPr="00BF2336" w:rsidRDefault="0088566C" w:rsidP="0088566C">
            <w:pPr>
              <w:pStyle w:val="aff6"/>
              <w:widowControl w:val="0"/>
              <w:numPr>
                <w:ilvl w:val="1"/>
                <w:numId w:val="38"/>
              </w:numPr>
              <w:spacing w:after="120" w:line="240" w:lineRule="auto"/>
              <w:ind w:firstLineChars="0"/>
              <w:contextualSpacing/>
            </w:pPr>
            <w:r w:rsidRPr="00BF2336">
              <w:t xml:space="preserve">Specify the required quiet zone to cover VSAT device type based on industry needs </w:t>
            </w:r>
          </w:p>
          <w:p w14:paraId="2BC97D88" w14:textId="77777777" w:rsidR="0088566C" w:rsidRPr="00BF2336" w:rsidRDefault="0088566C" w:rsidP="0088566C">
            <w:pPr>
              <w:pStyle w:val="aff6"/>
              <w:widowControl w:val="0"/>
              <w:numPr>
                <w:ilvl w:val="2"/>
                <w:numId w:val="38"/>
              </w:numPr>
              <w:spacing w:after="120" w:line="240" w:lineRule="auto"/>
              <w:ind w:firstLineChars="0"/>
              <w:contextualSpacing/>
            </w:pPr>
            <w:r w:rsidRPr="00BF2336">
              <w:t>60cm QZ as a starting point</w:t>
            </w:r>
          </w:p>
          <w:p w14:paraId="5D6268DE" w14:textId="6808848A" w:rsidR="0088566C" w:rsidRPr="0088566C" w:rsidRDefault="0088566C" w:rsidP="0088566C">
            <w:pPr>
              <w:pStyle w:val="aff6"/>
              <w:widowControl w:val="0"/>
              <w:numPr>
                <w:ilvl w:val="1"/>
                <w:numId w:val="38"/>
              </w:numPr>
              <w:spacing w:after="120" w:line="240" w:lineRule="auto"/>
              <w:ind w:firstLineChars="0"/>
              <w:contextualSpacing/>
              <w:rPr>
                <w:lang w:eastAsia="zh-CN"/>
              </w:rPr>
            </w:pPr>
            <w:r w:rsidRPr="00BF2336">
              <w:t>Specify preliminary MU assessment for test methodologies</w:t>
            </w:r>
          </w:p>
        </w:tc>
      </w:tr>
    </w:tbl>
    <w:p w14:paraId="0E1436F3" w14:textId="586CA36D" w:rsidR="0088566C" w:rsidRDefault="0088566C" w:rsidP="00695B13">
      <w:pPr>
        <w:jc w:val="left"/>
        <w:rPr>
          <w:lang w:eastAsia="zh-CN"/>
        </w:rPr>
      </w:pPr>
    </w:p>
    <w:p w14:paraId="247E5472" w14:textId="32ED7EF6" w:rsidR="00EF188E" w:rsidRPr="00CD2D05" w:rsidRDefault="000258D4" w:rsidP="000258D4">
      <w:pPr>
        <w:jc w:val="left"/>
        <w:rPr>
          <w:rFonts w:eastAsiaTheme="minorEastAsia"/>
          <w:lang w:eastAsia="zh-CN"/>
        </w:rPr>
      </w:pPr>
      <w:r>
        <w:rPr>
          <w:lang w:eastAsia="zh-CN"/>
        </w:rPr>
        <w:t>RAN4#116bis meeting was the first meeting, companies have common views that IFF method should be prioritized while have different views on circular polarization. Detailed test methods are supposed to be further discussed in this meeting. In this contribution we will further discuss the open issues</w:t>
      </w:r>
      <w:r w:rsidR="00775FAA">
        <w:rPr>
          <w:lang w:eastAsia="zh-CN"/>
        </w:rPr>
        <w:t xml:space="preserve"> including polarization, white box approach and beam steering aspects</w:t>
      </w:r>
      <w:r w:rsidR="00CD2D05">
        <w:rPr>
          <w:rFonts w:eastAsiaTheme="minorEastAsia"/>
          <w:lang w:eastAsia="zh-CN"/>
        </w:rP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78FF3D49" w14:textId="5A6C5FF5" w:rsidR="00CD40AF" w:rsidRDefault="00CD40AF" w:rsidP="00CD40AF">
      <w:pPr>
        <w:pStyle w:val="2"/>
      </w:pPr>
      <w:r>
        <w:rPr>
          <w:rFonts w:hint="eastAsia"/>
        </w:rPr>
        <w:t>2</w:t>
      </w:r>
      <w:r>
        <w:t>.1</w:t>
      </w:r>
      <w:r>
        <w:tab/>
        <w:t>polarization</w:t>
      </w:r>
    </w:p>
    <w:p w14:paraId="2ACEBD59" w14:textId="3216BC11" w:rsidR="00CF1190" w:rsidRDefault="00CD40AF" w:rsidP="00CD40AF">
      <w:pPr>
        <w:jc w:val="left"/>
        <w:rPr>
          <w:rFonts w:eastAsiaTheme="minorEastAsia"/>
          <w:lang w:eastAsia="zh-CN"/>
        </w:rPr>
      </w:pPr>
      <w:r>
        <w:rPr>
          <w:rFonts w:eastAsiaTheme="minorEastAsia"/>
          <w:lang w:eastAsia="zh-CN"/>
        </w:rPr>
        <w:t>The discussion on polarization in last meeting is related with several aspects. There is testability challenge to support circular polarization, e.g., difficulty to cover large frequency range, and test system complexity to support both CP and LP; the WID says linear polarization is baseline</w:t>
      </w:r>
      <w:r w:rsidR="00EC38D3">
        <w:rPr>
          <w:rFonts w:eastAsiaTheme="minorEastAsia"/>
          <w:lang w:eastAsia="zh-CN"/>
        </w:rPr>
        <w:t xml:space="preserve"> and there is practical GEO satellite in operation with linear polarization; the core requirement does not have clear requirement in terms of polarization.</w:t>
      </w:r>
    </w:p>
    <w:p w14:paraId="2D39A128" w14:textId="5A9FD6D5" w:rsidR="00EC38D3" w:rsidRDefault="00EC38D3" w:rsidP="00CD40AF">
      <w:pPr>
        <w:jc w:val="left"/>
        <w:rPr>
          <w:rFonts w:eastAsiaTheme="minorEastAsia"/>
          <w:lang w:eastAsia="zh-CN"/>
        </w:rPr>
      </w:pPr>
      <w:r>
        <w:rPr>
          <w:rFonts w:eastAsiaTheme="minorEastAsia" w:hint="eastAsia"/>
          <w:lang w:eastAsia="zh-CN"/>
        </w:rPr>
        <w:t>T</w:t>
      </w:r>
      <w:r>
        <w:rPr>
          <w:rFonts w:eastAsiaTheme="minorEastAsia"/>
          <w:lang w:eastAsia="zh-CN"/>
        </w:rPr>
        <w:t>he agreement of last meeting is as following [</w:t>
      </w:r>
      <w:r w:rsidR="00B15131">
        <w:rPr>
          <w:rFonts w:eastAsiaTheme="minorEastAsia"/>
          <w:lang w:eastAsia="zh-CN"/>
        </w:rPr>
        <w:t>2</w:t>
      </w:r>
      <w:r>
        <w:rPr>
          <w:rFonts w:eastAsiaTheme="minorEastAsia"/>
          <w:lang w:eastAsia="zh-CN"/>
        </w:rPr>
        <w:t>, R4-2514820]:</w:t>
      </w:r>
    </w:p>
    <w:tbl>
      <w:tblPr>
        <w:tblStyle w:val="afd"/>
        <w:tblW w:w="0" w:type="auto"/>
        <w:tblLook w:val="04A0" w:firstRow="1" w:lastRow="0" w:firstColumn="1" w:lastColumn="0" w:noHBand="0" w:noVBand="1"/>
      </w:tblPr>
      <w:tblGrid>
        <w:gridCol w:w="9631"/>
      </w:tblGrid>
      <w:tr w:rsidR="00EC38D3" w14:paraId="474A6132" w14:textId="77777777" w:rsidTr="00EC38D3">
        <w:tc>
          <w:tcPr>
            <w:tcW w:w="9631" w:type="dxa"/>
          </w:tcPr>
          <w:p w14:paraId="7B35B49B" w14:textId="77777777" w:rsidR="00EC38D3" w:rsidRPr="00E02E3E" w:rsidRDefault="00EC38D3" w:rsidP="00EC38D3">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2-6: Polarizaion</w:t>
            </w:r>
          </w:p>
          <w:p w14:paraId="565E9645" w14:textId="77777777" w:rsidR="00EC38D3" w:rsidRPr="00E02E3E" w:rsidRDefault="00EC38D3" w:rsidP="00EC38D3">
            <w:pPr>
              <w:keepNext/>
              <w:spacing w:after="120"/>
              <w:rPr>
                <w:rFonts w:ascii="Arial" w:hAnsi="Arial" w:cs="Arial"/>
                <w:bCs/>
                <w:highlight w:val="green"/>
                <w:lang w:eastAsia="zh-CN"/>
              </w:rPr>
            </w:pPr>
            <w:r w:rsidRPr="00E02E3E">
              <w:rPr>
                <w:rFonts w:ascii="Arial" w:hAnsi="Arial" w:cs="Arial"/>
                <w:bCs/>
                <w:highlight w:val="green"/>
                <w:lang w:eastAsia="zh-CN"/>
              </w:rPr>
              <w:t xml:space="preserve">RAN4 start to work on whether and how to support of CP testing in IFF system. </w:t>
            </w:r>
          </w:p>
          <w:p w14:paraId="05B7A791" w14:textId="77777777" w:rsidR="00EC38D3" w:rsidRPr="00E02E3E" w:rsidRDefault="00EC38D3" w:rsidP="00EC38D3">
            <w:pPr>
              <w:keepNext/>
              <w:spacing w:after="120"/>
              <w:rPr>
                <w:rFonts w:ascii="Arial" w:hAnsi="Arial" w:cs="Arial"/>
                <w:bCs/>
                <w:highlight w:val="green"/>
                <w:lang w:eastAsia="zh-CN"/>
              </w:rPr>
            </w:pPr>
            <w:r w:rsidRPr="00E02E3E">
              <w:rPr>
                <w:rFonts w:ascii="Arial" w:hAnsi="Arial" w:cs="Arial"/>
                <w:bCs/>
                <w:highlight w:val="green"/>
                <w:lang w:eastAsia="zh-CN"/>
              </w:rPr>
              <w:t>Linear polarization is supported as basis based on the WID scope.</w:t>
            </w:r>
          </w:p>
          <w:p w14:paraId="20827189" w14:textId="3A19DFD0" w:rsidR="00EC38D3" w:rsidRPr="00EC38D3" w:rsidRDefault="00EC38D3" w:rsidP="00EC38D3">
            <w:pPr>
              <w:spacing w:after="120"/>
              <w:rPr>
                <w:rFonts w:eastAsiaTheme="minorEastAsia"/>
                <w:lang w:val="en-US" w:eastAsia="zh-CN"/>
              </w:rPr>
            </w:pPr>
            <w:r w:rsidRPr="00E02E3E">
              <w:rPr>
                <w:rFonts w:ascii="Arial" w:hAnsi="Arial" w:cs="Arial"/>
                <w:bCs/>
                <w:szCs w:val="24"/>
                <w:highlight w:val="green"/>
                <w:lang w:val="en-US" w:eastAsia="zh-CN"/>
              </w:rPr>
              <w:t>The core requirement</w:t>
            </w:r>
            <w:r>
              <w:rPr>
                <w:rFonts w:ascii="Arial" w:hAnsi="Arial" w:cs="Arial"/>
                <w:bCs/>
                <w:szCs w:val="24"/>
                <w:highlight w:val="green"/>
                <w:lang w:val="en-US" w:eastAsia="zh-CN"/>
              </w:rPr>
              <w:t>s</w:t>
            </w:r>
            <w:r w:rsidRPr="00E02E3E">
              <w:rPr>
                <w:rFonts w:ascii="Arial" w:hAnsi="Arial" w:cs="Arial"/>
                <w:bCs/>
                <w:szCs w:val="24"/>
                <w:highlight w:val="green"/>
                <w:lang w:val="en-US" w:eastAsia="zh-CN"/>
              </w:rPr>
              <w:t xml:space="preserve"> of NTN will be investigated to define the applicability of polarization on the requirements in </w:t>
            </w:r>
            <w:r>
              <w:rPr>
                <w:rFonts w:ascii="Arial" w:hAnsi="Arial" w:cs="Arial"/>
                <w:bCs/>
                <w:szCs w:val="24"/>
                <w:highlight w:val="green"/>
                <w:lang w:val="en-US" w:eastAsia="zh-CN"/>
              </w:rPr>
              <w:t xml:space="preserve">the </w:t>
            </w:r>
            <w:r w:rsidRPr="00E02E3E">
              <w:rPr>
                <w:rFonts w:ascii="Arial" w:hAnsi="Arial" w:cs="Arial"/>
                <w:bCs/>
                <w:szCs w:val="24"/>
                <w:highlight w:val="green"/>
                <w:lang w:val="en-US" w:eastAsia="zh-CN"/>
              </w:rPr>
              <w:t>next RAN4 meeting.</w:t>
            </w:r>
          </w:p>
        </w:tc>
      </w:tr>
    </w:tbl>
    <w:p w14:paraId="50844BF7" w14:textId="7E6317D8" w:rsidR="00EC38D3" w:rsidRDefault="00EC38D3" w:rsidP="00CD40AF">
      <w:pPr>
        <w:jc w:val="left"/>
        <w:rPr>
          <w:rFonts w:eastAsiaTheme="minorEastAsia"/>
          <w:lang w:eastAsia="zh-CN"/>
        </w:rPr>
      </w:pPr>
    </w:p>
    <w:p w14:paraId="3A96C6DC" w14:textId="11A6807E" w:rsidR="00EC38D3" w:rsidRDefault="00EC38D3" w:rsidP="00CD40AF">
      <w:pPr>
        <w:jc w:val="left"/>
        <w:rPr>
          <w:rFonts w:eastAsiaTheme="minorEastAsia"/>
          <w:lang w:eastAsia="zh-CN"/>
        </w:rPr>
      </w:pPr>
      <w:r>
        <w:rPr>
          <w:rFonts w:eastAsiaTheme="minorEastAsia" w:hint="eastAsia"/>
          <w:lang w:eastAsia="zh-CN"/>
        </w:rPr>
        <w:lastRenderedPageBreak/>
        <w:t>T</w:t>
      </w:r>
      <w:r>
        <w:rPr>
          <w:rFonts w:eastAsiaTheme="minorEastAsia"/>
          <w:lang w:eastAsia="zh-CN"/>
        </w:rPr>
        <w:t>aking all above discussion and agreements into account, a minimum common ground is that the NTN test system for VSAT at Ku and Ka bands should at least support linear polarization. Support of circular polarization need to address the testability issue and requirement ambiguity firstly. And RAN4 should avoid separate test system for different polarizations.</w:t>
      </w:r>
    </w:p>
    <w:p w14:paraId="3B9C140D" w14:textId="44F8E773" w:rsidR="00EC38D3" w:rsidRPr="00EC38D3" w:rsidRDefault="00EC38D3" w:rsidP="00EC38D3">
      <w:pPr>
        <w:spacing w:after="120"/>
        <w:ind w:left="1418" w:hanging="1418"/>
        <w:rPr>
          <w:rFonts w:eastAsiaTheme="minorEastAsia"/>
          <w:lang w:eastAsia="zh-CN"/>
        </w:rPr>
      </w:pPr>
      <w:r>
        <w:rPr>
          <w:b/>
          <w:bCs/>
        </w:rPr>
        <w:t>Observation 1</w:t>
      </w:r>
      <w:r w:rsidRPr="00DF1B01">
        <w:rPr>
          <w:b/>
          <w:bCs/>
        </w:rPr>
        <w:t>:</w:t>
      </w:r>
      <w:r w:rsidRPr="00DF1B01">
        <w:rPr>
          <w:b/>
          <w:bCs/>
        </w:rPr>
        <w:tab/>
      </w:r>
      <w:r w:rsidRPr="00EC38D3">
        <w:rPr>
          <w:b/>
          <w:bCs/>
          <w:lang w:eastAsia="zh-CN"/>
        </w:rPr>
        <w:t xml:space="preserve">Support of circular polarization need to address the testability issue and requirement ambiguity firstly. </w:t>
      </w:r>
    </w:p>
    <w:p w14:paraId="396748EE" w14:textId="7528A0DC" w:rsidR="00CD40AF" w:rsidRDefault="00EC38D3" w:rsidP="00CD40AF">
      <w:pPr>
        <w:spacing w:after="120"/>
        <w:ind w:left="1418" w:hanging="1418"/>
        <w:rPr>
          <w:b/>
          <w:bCs/>
          <w:lang w:eastAsia="zh-CN"/>
        </w:rPr>
      </w:pPr>
      <w:r>
        <w:rPr>
          <w:b/>
          <w:bCs/>
        </w:rPr>
        <w:t>Proposal</w:t>
      </w:r>
      <w:r w:rsidR="00CD40AF">
        <w:rPr>
          <w:b/>
          <w:bCs/>
        </w:rPr>
        <w:t xml:space="preserve"> 1</w:t>
      </w:r>
      <w:r w:rsidR="00CD40AF" w:rsidRPr="00DF1B01">
        <w:rPr>
          <w:b/>
          <w:bCs/>
        </w:rPr>
        <w:t>:</w:t>
      </w:r>
      <w:r w:rsidR="00CD40AF" w:rsidRPr="00DF1B01">
        <w:rPr>
          <w:b/>
          <w:bCs/>
        </w:rPr>
        <w:tab/>
      </w:r>
      <w:r w:rsidRPr="00EC38D3">
        <w:rPr>
          <w:b/>
          <w:bCs/>
          <w:lang w:eastAsia="zh-CN"/>
        </w:rPr>
        <w:t>NTN test system for VSAT at Ku and Ka bands should at least support linear polarization</w:t>
      </w:r>
      <w:r w:rsidR="00CD40AF" w:rsidRPr="006B36F3">
        <w:rPr>
          <w:b/>
          <w:bCs/>
          <w:lang w:eastAsia="zh-CN"/>
        </w:rPr>
        <w:t>.</w:t>
      </w:r>
    </w:p>
    <w:p w14:paraId="156ADDE0" w14:textId="3FCEA2AE" w:rsidR="00EC38D3" w:rsidRDefault="00EC38D3" w:rsidP="00EC38D3">
      <w:pPr>
        <w:spacing w:after="120"/>
        <w:ind w:left="1418" w:hanging="1418"/>
        <w:rPr>
          <w:b/>
          <w:bCs/>
          <w:lang w:eastAsia="zh-CN"/>
        </w:rPr>
      </w:pPr>
      <w:r>
        <w:rPr>
          <w:b/>
          <w:bCs/>
        </w:rPr>
        <w:t>Proposal 2</w:t>
      </w:r>
      <w:r w:rsidRPr="00DF1B01">
        <w:rPr>
          <w:b/>
          <w:bCs/>
        </w:rPr>
        <w:t>:</w:t>
      </w:r>
      <w:r w:rsidRPr="00DF1B01">
        <w:rPr>
          <w:b/>
          <w:bCs/>
        </w:rPr>
        <w:tab/>
      </w:r>
      <w:r w:rsidRPr="00EC38D3">
        <w:rPr>
          <w:b/>
          <w:bCs/>
          <w:lang w:eastAsia="zh-CN"/>
        </w:rPr>
        <w:t>RAN4 should avoid separate test system for different polarization</w:t>
      </w:r>
      <w:r>
        <w:rPr>
          <w:b/>
          <w:bCs/>
          <w:lang w:eastAsia="zh-CN"/>
        </w:rPr>
        <w:t>s</w:t>
      </w:r>
      <w:r w:rsidRPr="006B36F3">
        <w:rPr>
          <w:b/>
          <w:bCs/>
          <w:lang w:eastAsia="zh-CN"/>
        </w:rPr>
        <w:t>.</w:t>
      </w:r>
    </w:p>
    <w:p w14:paraId="365D1907" w14:textId="3F77214F" w:rsidR="00CD40AF" w:rsidRDefault="00CD40AF" w:rsidP="00CD40AF">
      <w:pPr>
        <w:pStyle w:val="2"/>
      </w:pPr>
      <w:r>
        <w:rPr>
          <w:rFonts w:hint="eastAsia"/>
        </w:rPr>
        <w:t>2</w:t>
      </w:r>
      <w:r>
        <w:t>.2</w:t>
      </w:r>
      <w:r>
        <w:tab/>
        <w:t>white-box approach</w:t>
      </w:r>
    </w:p>
    <w:p w14:paraId="2C95FD55" w14:textId="57865F17" w:rsidR="00CD40AF" w:rsidRDefault="00EC38D3" w:rsidP="00CD40AF">
      <w:pPr>
        <w:jc w:val="left"/>
        <w:rPr>
          <w:rFonts w:eastAsiaTheme="minorEastAsia"/>
          <w:lang w:val="sv-SE" w:eastAsia="zh-CN"/>
        </w:rPr>
      </w:pPr>
      <w:r>
        <w:rPr>
          <w:rFonts w:eastAsiaTheme="minorEastAsia" w:hint="eastAsia"/>
          <w:lang w:val="sv-SE" w:eastAsia="zh-CN"/>
        </w:rPr>
        <w:t>A</w:t>
      </w:r>
      <w:r>
        <w:rPr>
          <w:rFonts w:eastAsiaTheme="minorEastAsia"/>
          <w:lang w:val="sv-SE" w:eastAsia="zh-CN"/>
        </w:rPr>
        <w:t>s discused in our previous paper [</w:t>
      </w:r>
      <w:r w:rsidR="00B15131">
        <w:rPr>
          <w:rFonts w:eastAsiaTheme="minorEastAsia"/>
          <w:lang w:val="sv-SE" w:eastAsia="zh-CN"/>
        </w:rPr>
        <w:t>3, R4-2513876], the experience in FR2 testability indicates that black-box approach is facing severe limited SNR range issue even with 5cm antenna radiating aperture size assumption. In last meeting it was agreed that the QZ size will be 63cm or higher. This will make black box approach becoming infeasible.</w:t>
      </w:r>
    </w:p>
    <w:p w14:paraId="26A45845" w14:textId="5984DE20" w:rsidR="00B15131" w:rsidRDefault="00B15131" w:rsidP="00B15131">
      <w:pPr>
        <w:spacing w:after="120"/>
        <w:ind w:left="1418" w:hanging="1418"/>
        <w:rPr>
          <w:lang w:eastAsia="zh-CN"/>
        </w:rPr>
      </w:pPr>
      <w:r>
        <w:rPr>
          <w:b/>
          <w:bCs/>
        </w:rPr>
        <w:t>Observation 2</w:t>
      </w:r>
      <w:r w:rsidRPr="00DF1B01">
        <w:rPr>
          <w:b/>
          <w:bCs/>
        </w:rPr>
        <w:t>:</w:t>
      </w:r>
      <w:r w:rsidRPr="00DF1B01">
        <w:rPr>
          <w:b/>
          <w:bCs/>
        </w:rPr>
        <w:tab/>
      </w:r>
      <w:r>
        <w:rPr>
          <w:b/>
          <w:bCs/>
          <w:lang w:eastAsia="zh-CN"/>
        </w:rPr>
        <w:t>large radiating aperture diameter and large QZ size for NTN VSAT testing makes the black-box approach becoming in feasible</w:t>
      </w:r>
      <w:r w:rsidRPr="00691D8D">
        <w:rPr>
          <w:b/>
          <w:bCs/>
          <w:lang w:eastAsia="zh-CN"/>
        </w:rPr>
        <w:t>.</w:t>
      </w:r>
    </w:p>
    <w:p w14:paraId="58FAE2F9" w14:textId="32F31C6B" w:rsidR="00B15131" w:rsidRDefault="00B15131" w:rsidP="00CD40AF">
      <w:pPr>
        <w:jc w:val="left"/>
        <w:rPr>
          <w:rFonts w:eastAsiaTheme="minorEastAsia"/>
          <w:lang w:eastAsia="zh-CN"/>
        </w:rPr>
      </w:pPr>
      <w:r>
        <w:rPr>
          <w:rFonts w:eastAsiaTheme="minorEastAsia" w:hint="eastAsia"/>
          <w:lang w:eastAsia="zh-CN"/>
        </w:rPr>
        <w:t>H</w:t>
      </w:r>
      <w:r>
        <w:rPr>
          <w:rFonts w:eastAsiaTheme="minorEastAsia"/>
          <w:lang w:eastAsia="zh-CN"/>
        </w:rPr>
        <w:t>ence, it is proposed to adopt white-box approach. Companies can further discuss how to align the UE positioning with reference to test center.</w:t>
      </w:r>
    </w:p>
    <w:p w14:paraId="5880D74C" w14:textId="501F03A7" w:rsidR="00CD40AF" w:rsidRPr="00587BB2" w:rsidRDefault="00CD40AF" w:rsidP="00CD40AF">
      <w:pPr>
        <w:spacing w:after="120"/>
        <w:ind w:left="1418" w:hanging="1418"/>
        <w:rPr>
          <w:b/>
          <w:bCs/>
          <w:lang w:eastAsia="zh-CN"/>
        </w:rPr>
      </w:pPr>
      <w:r>
        <w:rPr>
          <w:b/>
          <w:bCs/>
        </w:rPr>
        <w:t xml:space="preserve">Proposal </w:t>
      </w:r>
      <w:r w:rsidR="00B22F2D">
        <w:rPr>
          <w:b/>
          <w:bCs/>
        </w:rPr>
        <w:t>3</w:t>
      </w:r>
      <w:r w:rsidRPr="00DF1B01">
        <w:rPr>
          <w:b/>
          <w:bCs/>
        </w:rPr>
        <w:t>:</w:t>
      </w:r>
      <w:r w:rsidRPr="00DF1B01">
        <w:rPr>
          <w:b/>
          <w:bCs/>
        </w:rPr>
        <w:tab/>
      </w:r>
      <w:r w:rsidR="00B15131" w:rsidRPr="00B15131">
        <w:rPr>
          <w:rFonts w:eastAsiaTheme="minorEastAsia"/>
          <w:b/>
          <w:bCs/>
          <w:lang w:eastAsia="zh-CN"/>
        </w:rPr>
        <w:t>it is proposed to adopt white-box approach</w:t>
      </w:r>
      <w:r w:rsidR="00B15131">
        <w:rPr>
          <w:rFonts w:eastAsiaTheme="minorEastAsia"/>
          <w:b/>
          <w:bCs/>
          <w:lang w:eastAsia="zh-CN"/>
        </w:rPr>
        <w:t xml:space="preserve"> for NTN VSAT testing at Ku and Ka bands</w:t>
      </w:r>
      <w:r w:rsidRPr="003D15EA">
        <w:rPr>
          <w:rFonts w:eastAsiaTheme="minorEastAsia"/>
          <w:b/>
          <w:bCs/>
          <w:lang w:eastAsia="zh-CN"/>
        </w:rPr>
        <w:t>.</w:t>
      </w:r>
    </w:p>
    <w:p w14:paraId="43ACA4EB" w14:textId="0745E54C" w:rsidR="00CD40AF" w:rsidRDefault="00CD40AF" w:rsidP="00CD40AF">
      <w:pPr>
        <w:pStyle w:val="2"/>
      </w:pPr>
      <w:r>
        <w:rPr>
          <w:rFonts w:hint="eastAsia"/>
        </w:rPr>
        <w:t>2</w:t>
      </w:r>
      <w:r>
        <w:t>.3</w:t>
      </w:r>
      <w:r>
        <w:tab/>
        <w:t>beam steering</w:t>
      </w:r>
    </w:p>
    <w:p w14:paraId="21E6C593" w14:textId="57550A3E" w:rsidR="00B22F2D" w:rsidRDefault="00B22F2D" w:rsidP="00CD40AF">
      <w:pPr>
        <w:jc w:val="left"/>
        <w:rPr>
          <w:rFonts w:eastAsiaTheme="minorEastAsia"/>
          <w:lang w:eastAsia="zh-CN"/>
        </w:rPr>
      </w:pPr>
      <w:r>
        <w:rPr>
          <w:rFonts w:eastAsiaTheme="minorEastAsia"/>
          <w:lang w:eastAsia="zh-CN"/>
        </w:rPr>
        <w:t xml:space="preserve">Looking at the MOP requirement for NTN VSAT in TS 38.101-5, </w:t>
      </w:r>
      <w:r>
        <w:rPr>
          <w:rFonts w:eastAsiaTheme="minorEastAsia" w:hint="eastAsia"/>
          <w:lang w:eastAsia="zh-CN"/>
        </w:rPr>
        <w:t>taking</w:t>
      </w:r>
      <w:r>
        <w:rPr>
          <w:rFonts w:eastAsiaTheme="minorEastAsia"/>
          <w:lang w:eastAsia="zh-CN"/>
        </w:rPr>
        <w:t xml:space="preserve"> mobile VSAT as example, the beam peak here means “beam peak direction</w:t>
      </w:r>
      <w:r w:rsidRPr="00B22F2D">
        <w:rPr>
          <w:rFonts w:eastAsiaTheme="minorEastAsia"/>
          <w:highlight w:val="yellow"/>
          <w:lang w:eastAsia="zh-CN"/>
        </w:rPr>
        <w:t>s</w:t>
      </w:r>
      <w:r>
        <w:rPr>
          <w:rFonts w:eastAsiaTheme="minorEastAsia"/>
          <w:lang w:eastAsia="zh-CN"/>
        </w:rPr>
        <w:t xml:space="preserve">”, which means all the beam peak directions within the </w:t>
      </w:r>
      <w:r w:rsidRPr="00B22F2D">
        <w:rPr>
          <w:rFonts w:eastAsiaTheme="minorEastAsia"/>
          <w:lang w:eastAsia="zh-CN"/>
        </w:rPr>
        <w:t>declared supported minimum elevation angle</w:t>
      </w:r>
      <w:r>
        <w:rPr>
          <w:rFonts w:eastAsiaTheme="minorEastAsia"/>
          <w:lang w:eastAsia="zh-CN"/>
        </w:rPr>
        <w:t xml:space="preserve"> (as shown in </w:t>
      </w:r>
      <w:r w:rsidRPr="00B22F2D">
        <w:rPr>
          <w:rFonts w:hint="eastAsia"/>
          <w:lang w:val="en-US"/>
        </w:rPr>
        <w:t>F</w:t>
      </w:r>
      <w:r w:rsidRPr="00B22F2D">
        <w:rPr>
          <w:lang w:val="en-US"/>
        </w:rPr>
        <w:t>igure 9.2.1.2-1</w:t>
      </w:r>
      <w:r>
        <w:rPr>
          <w:lang w:val="en-US"/>
        </w:rPr>
        <w:t>)</w:t>
      </w:r>
      <w:r>
        <w:rPr>
          <w:rFonts w:eastAsiaTheme="minorEastAsia"/>
          <w:lang w:eastAsia="zh-CN"/>
        </w:rPr>
        <w:t xml:space="preserve"> need to pass the </w:t>
      </w:r>
      <w:r w:rsidRPr="00B22F2D">
        <w:rPr>
          <w:rFonts w:eastAsiaTheme="minorEastAsia"/>
          <w:lang w:eastAsia="zh-CN"/>
        </w:rPr>
        <w:t>Minimum peak EIRP</w:t>
      </w:r>
      <w:r>
        <w:rPr>
          <w:rFonts w:eastAsiaTheme="minorEastAsia"/>
          <w:lang w:eastAsia="zh-CN"/>
        </w:rPr>
        <w:t xml:space="preserve"> requirement in </w:t>
      </w:r>
      <w:r w:rsidRPr="00B22F2D">
        <w:rPr>
          <w:rFonts w:eastAsiaTheme="minorEastAsia"/>
          <w:lang w:eastAsia="zh-CN"/>
        </w:rPr>
        <w:t>Table 9.2.1.2-1</w:t>
      </w:r>
      <w:r>
        <w:rPr>
          <w:rFonts w:eastAsiaTheme="minorEastAsia"/>
          <w:lang w:eastAsia="zh-CN"/>
        </w:rPr>
        <w:t xml:space="preserve">. From this sense, </w:t>
      </w:r>
      <w:bookmarkStart w:id="1" w:name="_Hlk213246734"/>
      <w:r>
        <w:rPr>
          <w:rFonts w:eastAsiaTheme="minorEastAsia"/>
          <w:lang w:eastAsia="zh-CN"/>
        </w:rPr>
        <w:t>VSAT NTN only has spherical coverage requirements, and there is no requirement for a single peak direction.</w:t>
      </w:r>
      <w:bookmarkEnd w:id="1"/>
      <w:r w:rsidR="00A80166">
        <w:rPr>
          <w:rFonts w:eastAsiaTheme="minorEastAsia"/>
          <w:lang w:eastAsia="zh-CN"/>
        </w:rPr>
        <w:t xml:space="preserve"> All the requirements within the required spherical coverage are treated equally, which is called as minimum peak EIRP here.</w:t>
      </w:r>
    </w:p>
    <w:p w14:paraId="32302823" w14:textId="345A6DEA" w:rsidR="00B22F2D" w:rsidRDefault="00B22F2D" w:rsidP="00B22F2D">
      <w:pPr>
        <w:spacing w:after="120"/>
        <w:ind w:left="1418" w:hanging="1418"/>
        <w:rPr>
          <w:lang w:eastAsia="zh-CN"/>
        </w:rPr>
      </w:pPr>
      <w:r>
        <w:rPr>
          <w:b/>
          <w:bCs/>
        </w:rPr>
        <w:t>Observation 3</w:t>
      </w:r>
      <w:r w:rsidRPr="00DF1B01">
        <w:rPr>
          <w:b/>
          <w:bCs/>
        </w:rPr>
        <w:t>:</w:t>
      </w:r>
      <w:r w:rsidRPr="00DF1B01">
        <w:rPr>
          <w:b/>
          <w:bCs/>
        </w:rPr>
        <w:tab/>
      </w:r>
      <w:r>
        <w:rPr>
          <w:b/>
          <w:bCs/>
          <w:lang w:eastAsia="zh-CN"/>
        </w:rPr>
        <w:t xml:space="preserve">If comparing FR2 TN mmWave MOP requirements, </w:t>
      </w:r>
      <w:r w:rsidRPr="00B22F2D">
        <w:rPr>
          <w:b/>
          <w:bCs/>
          <w:lang w:eastAsia="zh-CN"/>
        </w:rPr>
        <w:t xml:space="preserve">VSAT NTN only has </w:t>
      </w:r>
      <w:r>
        <w:rPr>
          <w:b/>
          <w:bCs/>
          <w:lang w:eastAsia="zh-CN"/>
        </w:rPr>
        <w:t>‘</w:t>
      </w:r>
      <w:r w:rsidRPr="00B22F2D">
        <w:rPr>
          <w:b/>
          <w:bCs/>
          <w:lang w:eastAsia="zh-CN"/>
        </w:rPr>
        <w:t>spherical coverage</w:t>
      </w:r>
      <w:r>
        <w:rPr>
          <w:b/>
          <w:bCs/>
          <w:lang w:eastAsia="zh-CN"/>
        </w:rPr>
        <w:t>’</w:t>
      </w:r>
      <w:r w:rsidRPr="00B22F2D">
        <w:rPr>
          <w:b/>
          <w:bCs/>
          <w:lang w:eastAsia="zh-CN"/>
        </w:rPr>
        <w:t xml:space="preserve"> requirements, and there is no requirement for a single peak direction.</w:t>
      </w:r>
    </w:p>
    <w:p w14:paraId="43A0A3E8" w14:textId="6CCBD2E4" w:rsidR="00B22F2D" w:rsidRDefault="001D63B1" w:rsidP="00CD40AF">
      <w:pPr>
        <w:jc w:val="left"/>
        <w:rPr>
          <w:rFonts w:eastAsiaTheme="minorEastAsia"/>
          <w:lang w:eastAsia="zh-CN"/>
        </w:rPr>
      </w:pPr>
      <w:r>
        <w:rPr>
          <w:rFonts w:eastAsiaTheme="minorEastAsia"/>
          <w:lang w:eastAsia="zh-CN"/>
        </w:rPr>
        <w:t>With this difference compared with FR2 TN mmWave requirements, in can be concluded that beam peak search is not needed, and thus also no need to specify a dedicated measurement grid for beam peak search.</w:t>
      </w:r>
    </w:p>
    <w:p w14:paraId="0FC4244F" w14:textId="61D0825C" w:rsidR="001D63B1" w:rsidRPr="00587BB2" w:rsidRDefault="001D63B1" w:rsidP="001D63B1">
      <w:pPr>
        <w:spacing w:after="120"/>
        <w:ind w:left="1418" w:hanging="1418"/>
        <w:rPr>
          <w:b/>
          <w:bCs/>
          <w:lang w:eastAsia="zh-CN"/>
        </w:rPr>
      </w:pPr>
      <w:r>
        <w:rPr>
          <w:b/>
          <w:bCs/>
        </w:rPr>
        <w:t>Proposal 4</w:t>
      </w:r>
      <w:r w:rsidRPr="00DF1B01">
        <w:rPr>
          <w:b/>
          <w:bCs/>
        </w:rPr>
        <w:t>:</w:t>
      </w:r>
      <w:r w:rsidRPr="00DF1B01">
        <w:rPr>
          <w:b/>
          <w:bCs/>
        </w:rPr>
        <w:tab/>
      </w:r>
      <w:r>
        <w:rPr>
          <w:b/>
          <w:bCs/>
        </w:rPr>
        <w:t>B</w:t>
      </w:r>
      <w:r w:rsidRPr="001D63B1">
        <w:rPr>
          <w:rFonts w:eastAsiaTheme="minorEastAsia"/>
          <w:b/>
          <w:bCs/>
          <w:lang w:eastAsia="zh-CN"/>
        </w:rPr>
        <w:t>eam peak search is not needed, and thus also no need to specify a dedicated measurement grid for beam peak search</w:t>
      </w:r>
      <w:r w:rsidRPr="003D15EA">
        <w:rPr>
          <w:rFonts w:eastAsiaTheme="minorEastAsia"/>
          <w:b/>
          <w:bCs/>
          <w:lang w:eastAsia="zh-CN"/>
        </w:rPr>
        <w:t>.</w:t>
      </w:r>
    </w:p>
    <w:p w14:paraId="626675DA" w14:textId="77777777" w:rsidR="001D63B1" w:rsidRPr="001D63B1" w:rsidRDefault="001D63B1" w:rsidP="00CD40AF">
      <w:pPr>
        <w:jc w:val="left"/>
        <w:rPr>
          <w:rFonts w:eastAsiaTheme="minorEastAsia"/>
          <w:lang w:eastAsia="zh-CN"/>
        </w:rPr>
      </w:pPr>
    </w:p>
    <w:tbl>
      <w:tblPr>
        <w:tblStyle w:val="afd"/>
        <w:tblW w:w="0" w:type="auto"/>
        <w:tblLook w:val="04A0" w:firstRow="1" w:lastRow="0" w:firstColumn="1" w:lastColumn="0" w:noHBand="0" w:noVBand="1"/>
      </w:tblPr>
      <w:tblGrid>
        <w:gridCol w:w="9631"/>
      </w:tblGrid>
      <w:tr w:rsidR="00B22F2D" w14:paraId="58A49AEC" w14:textId="77777777" w:rsidTr="00B22F2D">
        <w:tc>
          <w:tcPr>
            <w:tcW w:w="9631" w:type="dxa"/>
          </w:tcPr>
          <w:p w14:paraId="0C7B096C" w14:textId="77777777" w:rsidR="00B22F2D" w:rsidRPr="00C04A08" w:rsidRDefault="00B22F2D" w:rsidP="00B22F2D">
            <w:pPr>
              <w:pStyle w:val="4"/>
              <w:outlineLvl w:val="3"/>
            </w:pPr>
            <w:bookmarkStart w:id="2" w:name="_Toc21340760"/>
            <w:bookmarkStart w:id="3" w:name="_Toc29805207"/>
            <w:bookmarkStart w:id="4" w:name="_Toc36456416"/>
            <w:bookmarkStart w:id="5" w:name="_Toc36469514"/>
            <w:bookmarkStart w:id="6" w:name="_Toc37253923"/>
            <w:bookmarkStart w:id="7" w:name="_Toc37322780"/>
            <w:bookmarkStart w:id="8" w:name="_Toc37324186"/>
            <w:bookmarkStart w:id="9" w:name="_Toc45889709"/>
            <w:bookmarkStart w:id="10" w:name="_Toc52196364"/>
            <w:bookmarkStart w:id="11" w:name="_Toc52197344"/>
            <w:bookmarkStart w:id="12" w:name="_Toc53173067"/>
            <w:bookmarkStart w:id="13" w:name="_Toc53173436"/>
            <w:bookmarkStart w:id="14" w:name="_Toc61119425"/>
            <w:bookmarkStart w:id="15" w:name="_Toc61119807"/>
            <w:bookmarkStart w:id="16" w:name="_Toc67925853"/>
            <w:bookmarkStart w:id="17" w:name="_Toc75273491"/>
            <w:bookmarkStart w:id="18" w:name="_Toc76510391"/>
            <w:bookmarkStart w:id="19" w:name="_Toc83129544"/>
            <w:bookmarkStart w:id="20" w:name="_Toc90591077"/>
            <w:bookmarkStart w:id="21" w:name="_Toc98864099"/>
            <w:bookmarkStart w:id="22" w:name="_Toc99733348"/>
            <w:bookmarkStart w:id="23" w:name="_Toc106577239"/>
            <w:bookmarkStart w:id="24" w:name="_Toc114536990"/>
            <w:bookmarkStart w:id="25" w:name="_Toc115257258"/>
            <w:bookmarkStart w:id="26" w:name="_Toc161753932"/>
            <w:bookmarkStart w:id="27" w:name="_Toc161754553"/>
            <w:bookmarkStart w:id="28" w:name="_Toc163202126"/>
            <w:bookmarkStart w:id="29" w:name="_Toc169888388"/>
            <w:bookmarkStart w:id="30" w:name="_Toc171551577"/>
            <w:bookmarkStart w:id="31" w:name="_Toc176775299"/>
            <w:bookmarkStart w:id="32" w:name="_Toc187243894"/>
            <w:bookmarkStart w:id="33" w:name="_Toc193201443"/>
            <w:bookmarkStart w:id="34" w:name="_Toc201742971"/>
            <w:bookmarkStart w:id="35" w:name="_Toc201744598"/>
            <w:bookmarkStart w:id="36" w:name="_Toc208835454"/>
            <w:bookmarkStart w:id="37" w:name="_Toc209624064"/>
            <w:bookmarkStart w:id="38" w:name="_Toc210122106"/>
            <w:r>
              <w:lastRenderedPageBreak/>
              <w:t>9</w:t>
            </w:r>
            <w:r w:rsidRPr="00C04A08">
              <w:t>.2.1.</w:t>
            </w:r>
            <w:r>
              <w:t>2</w:t>
            </w:r>
            <w:r w:rsidRPr="00C04A08">
              <w:tab/>
            </w:r>
            <w:r>
              <w:t>Minimum requirements</w:t>
            </w:r>
            <w:r w:rsidRPr="00C04A08">
              <w:t xml:space="preserve">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Mobile VSAT</w:t>
            </w:r>
            <w:bookmarkEnd w:id="26"/>
            <w:bookmarkEnd w:id="27"/>
            <w:bookmarkEnd w:id="28"/>
            <w:bookmarkEnd w:id="29"/>
            <w:bookmarkEnd w:id="30"/>
            <w:bookmarkEnd w:id="31"/>
            <w:bookmarkEnd w:id="32"/>
            <w:bookmarkEnd w:id="33"/>
            <w:bookmarkEnd w:id="34"/>
            <w:bookmarkEnd w:id="35"/>
            <w:bookmarkEnd w:id="36"/>
            <w:bookmarkEnd w:id="37"/>
            <w:bookmarkEnd w:id="38"/>
          </w:p>
          <w:p w14:paraId="6725380B" w14:textId="77777777" w:rsidR="00B22F2D" w:rsidRDefault="00B22F2D" w:rsidP="00B22F2D">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 The requirement should be verified with test metrics of EIRP (Link=Tx beam peak direction, Meas=Link angle).</w:t>
            </w:r>
          </w:p>
          <w:p w14:paraId="19E3E699" w14:textId="77777777" w:rsidR="00B22F2D" w:rsidRDefault="00B22F2D" w:rsidP="00B22F2D">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w:t>
            </w:r>
            <w:r w:rsidRPr="00B22F2D">
              <w:rPr>
                <w:rFonts w:hint="eastAsia"/>
                <w:highlight w:val="yellow"/>
              </w:rPr>
              <w:t>s</w:t>
            </w:r>
            <w:r w:rsidRPr="003D593D">
              <w:rPr>
                <w:rFonts w:hint="eastAsia"/>
              </w:rPr>
              <w:t xml:space="preserve">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571244F0" w14:textId="77777777" w:rsidR="00B22F2D" w:rsidRDefault="00B22F2D" w:rsidP="00B22F2D"/>
          <w:p w14:paraId="72EB7E5B" w14:textId="77777777" w:rsidR="00B22F2D" w:rsidRDefault="00B22F2D" w:rsidP="00B22F2D">
            <w:pPr>
              <w:pStyle w:val="TH"/>
            </w:pPr>
            <w:r w:rsidRPr="003D593D">
              <w:rPr>
                <w:noProof/>
                <w:lang w:val="fr-FR" w:eastAsia="fr-FR"/>
              </w:rPr>
              <w:drawing>
                <wp:inline distT="0" distB="0" distL="0" distR="0" wp14:anchorId="74382717" wp14:editId="294088A8">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240000" cy="1954622"/>
                          </a:xfrm>
                          <a:prstGeom prst="rect">
                            <a:avLst/>
                          </a:prstGeom>
                        </pic:spPr>
                      </pic:pic>
                    </a:graphicData>
                  </a:graphic>
                </wp:inline>
              </w:drawing>
            </w:r>
          </w:p>
          <w:p w14:paraId="4F5B5AB9" w14:textId="77777777" w:rsidR="00B22F2D" w:rsidRPr="00B22F2D" w:rsidRDefault="00B22F2D" w:rsidP="00B22F2D">
            <w:pPr>
              <w:pStyle w:val="TF"/>
              <w:rPr>
                <w:lang w:val="en-US"/>
              </w:rPr>
            </w:pPr>
            <w:r w:rsidRPr="00B22F2D">
              <w:rPr>
                <w:rFonts w:hint="eastAsia"/>
                <w:lang w:val="en-US"/>
              </w:rPr>
              <w:t>F</w:t>
            </w:r>
            <w:r w:rsidRPr="00B22F2D">
              <w:rPr>
                <w:lang w:val="en-US"/>
              </w:rPr>
              <w:t>igure 9.2.1.2-1 Example measurement grid for min peak EIRP with the declared supported minimum elevation angle</w:t>
            </w:r>
          </w:p>
          <w:p w14:paraId="7EB45A2C" w14:textId="77777777" w:rsidR="00B22F2D" w:rsidRPr="00C04A08" w:rsidRDefault="00B22F2D" w:rsidP="00B22F2D"/>
          <w:p w14:paraId="67F44A8F" w14:textId="77777777" w:rsidR="00B22F2D" w:rsidRPr="00B22F2D" w:rsidRDefault="00B22F2D" w:rsidP="00B22F2D">
            <w:pPr>
              <w:pStyle w:val="TH"/>
              <w:rPr>
                <w:lang w:val="en-US"/>
              </w:rPr>
            </w:pPr>
            <w:r w:rsidRPr="00B22F2D">
              <w:rPr>
                <w:lang w:val="en-US"/>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22F2D" w:rsidRPr="00C04A08" w14:paraId="47C264BB" w14:textId="77777777" w:rsidTr="00336D0C">
              <w:trPr>
                <w:trHeight w:val="187"/>
                <w:jc w:val="center"/>
              </w:trPr>
              <w:tc>
                <w:tcPr>
                  <w:tcW w:w="2122" w:type="dxa"/>
                  <w:vAlign w:val="center"/>
                </w:tcPr>
                <w:p w14:paraId="21DD4477" w14:textId="77777777" w:rsidR="00B22F2D" w:rsidRPr="00C04A08" w:rsidRDefault="00B22F2D" w:rsidP="00B22F2D">
                  <w:pPr>
                    <w:pStyle w:val="TAH"/>
                  </w:pPr>
                  <w:r w:rsidRPr="00C04A08">
                    <w:t>Operating band</w:t>
                  </w:r>
                </w:p>
              </w:tc>
              <w:tc>
                <w:tcPr>
                  <w:tcW w:w="1451" w:type="dxa"/>
                </w:tcPr>
                <w:p w14:paraId="40984E04" w14:textId="77777777" w:rsidR="00B22F2D" w:rsidRPr="00C04A08" w:rsidRDefault="00B22F2D" w:rsidP="00B22F2D">
                  <w:pPr>
                    <w:pStyle w:val="TAH"/>
                  </w:pPr>
                  <w:r>
                    <w:rPr>
                      <w:rFonts w:hint="eastAsia"/>
                    </w:rPr>
                    <w:t>U</w:t>
                  </w:r>
                  <w:r>
                    <w:t>E Type</w:t>
                  </w:r>
                </w:p>
              </w:tc>
              <w:tc>
                <w:tcPr>
                  <w:tcW w:w="2805" w:type="dxa"/>
                  <w:vAlign w:val="center"/>
                </w:tcPr>
                <w:p w14:paraId="2DF5BF8E" w14:textId="77777777" w:rsidR="00B22F2D" w:rsidRPr="00C04A08" w:rsidRDefault="00B22F2D" w:rsidP="00B22F2D">
                  <w:pPr>
                    <w:pStyle w:val="TAH"/>
                  </w:pPr>
                  <w:r w:rsidRPr="00C04A08">
                    <w:t>Min peak EIRP (dBm)</w:t>
                  </w:r>
                </w:p>
              </w:tc>
            </w:tr>
            <w:tr w:rsidR="00B22F2D" w:rsidRPr="0027740B" w14:paraId="01C6699B" w14:textId="77777777" w:rsidTr="00336D0C">
              <w:trPr>
                <w:trHeight w:val="187"/>
                <w:jc w:val="center"/>
              </w:trPr>
              <w:tc>
                <w:tcPr>
                  <w:tcW w:w="2122" w:type="dxa"/>
                  <w:tcBorders>
                    <w:bottom w:val="nil"/>
                  </w:tcBorders>
                  <w:vAlign w:val="center"/>
                </w:tcPr>
                <w:p w14:paraId="079F31FA" w14:textId="77777777" w:rsidR="00B22F2D" w:rsidRPr="0027740B" w:rsidRDefault="00B22F2D" w:rsidP="00B22F2D">
                  <w:pPr>
                    <w:pStyle w:val="TAC"/>
                  </w:pPr>
                  <w:r w:rsidRPr="0027740B">
                    <w:t>n512</w:t>
                  </w:r>
                  <w:r>
                    <w:t>, n511</w:t>
                  </w:r>
                </w:p>
              </w:tc>
              <w:tc>
                <w:tcPr>
                  <w:tcW w:w="1451" w:type="dxa"/>
                </w:tcPr>
                <w:p w14:paraId="014D07B6" w14:textId="77777777" w:rsidR="00B22F2D" w:rsidRPr="0027740B" w:rsidRDefault="00B22F2D" w:rsidP="00B22F2D">
                  <w:pPr>
                    <w:pStyle w:val="TAC"/>
                  </w:pPr>
                  <w:r w:rsidRPr="0027740B">
                    <w:t>4</w:t>
                  </w:r>
                </w:p>
              </w:tc>
              <w:tc>
                <w:tcPr>
                  <w:tcW w:w="2805" w:type="dxa"/>
                </w:tcPr>
                <w:p w14:paraId="032D73F6" w14:textId="77777777" w:rsidR="00B22F2D" w:rsidRPr="0027740B" w:rsidRDefault="00B22F2D" w:rsidP="00B22F2D">
                  <w:pPr>
                    <w:pStyle w:val="TAC"/>
                  </w:pPr>
                  <w:r w:rsidRPr="00B0718A">
                    <w:t>70</w:t>
                  </w:r>
                  <w:r>
                    <w:rPr>
                      <w:rFonts w:cs="Arial"/>
                      <w:szCs w:val="18"/>
                      <w:lang w:val="en-US"/>
                    </w:rPr>
                    <w:t xml:space="preserve"> (NOTE 1</w:t>
                  </w:r>
                  <w:r w:rsidRPr="00B923D0">
                    <w:rPr>
                      <w:rFonts w:cs="Arial"/>
                      <w:szCs w:val="18"/>
                      <w:lang w:val="en-US"/>
                    </w:rPr>
                    <w:t>)</w:t>
                  </w:r>
                </w:p>
              </w:tc>
            </w:tr>
            <w:tr w:rsidR="00B22F2D" w:rsidRPr="0027740B" w14:paraId="341ADC70" w14:textId="77777777" w:rsidTr="00336D0C">
              <w:trPr>
                <w:trHeight w:val="187"/>
                <w:jc w:val="center"/>
              </w:trPr>
              <w:tc>
                <w:tcPr>
                  <w:tcW w:w="2122" w:type="dxa"/>
                  <w:tcBorders>
                    <w:top w:val="nil"/>
                  </w:tcBorders>
                </w:tcPr>
                <w:p w14:paraId="33CE17FE" w14:textId="77777777" w:rsidR="00B22F2D" w:rsidRPr="0027740B" w:rsidRDefault="00B22F2D" w:rsidP="00B22F2D">
                  <w:pPr>
                    <w:pStyle w:val="TAC"/>
                  </w:pPr>
                </w:p>
              </w:tc>
              <w:tc>
                <w:tcPr>
                  <w:tcW w:w="1451" w:type="dxa"/>
                </w:tcPr>
                <w:p w14:paraId="047B2AB7" w14:textId="77777777" w:rsidR="00B22F2D" w:rsidRPr="0027740B" w:rsidRDefault="00B22F2D" w:rsidP="00B22F2D">
                  <w:pPr>
                    <w:pStyle w:val="TAC"/>
                  </w:pPr>
                  <w:r w:rsidRPr="0027740B">
                    <w:t>5</w:t>
                  </w:r>
                </w:p>
              </w:tc>
              <w:tc>
                <w:tcPr>
                  <w:tcW w:w="2805" w:type="dxa"/>
                </w:tcPr>
                <w:p w14:paraId="042254C6" w14:textId="77777777" w:rsidR="00B22F2D" w:rsidRPr="0027740B" w:rsidRDefault="00B22F2D" w:rsidP="00B22F2D">
                  <w:pPr>
                    <w:pStyle w:val="TAC"/>
                  </w:pPr>
                  <w:r w:rsidRPr="00B0718A">
                    <w:t>70</w:t>
                  </w:r>
                  <w:r>
                    <w:rPr>
                      <w:rFonts w:cs="Arial"/>
                      <w:szCs w:val="18"/>
                      <w:lang w:val="en-US"/>
                    </w:rPr>
                    <w:t xml:space="preserve"> (NOTE 1</w:t>
                  </w:r>
                  <w:r w:rsidRPr="00B923D0">
                    <w:rPr>
                      <w:rFonts w:cs="Arial"/>
                      <w:szCs w:val="18"/>
                      <w:lang w:val="en-US"/>
                    </w:rPr>
                    <w:t>)</w:t>
                  </w:r>
                </w:p>
              </w:tc>
            </w:tr>
            <w:tr w:rsidR="00B22F2D" w:rsidRPr="0027740B" w14:paraId="74589149" w14:textId="77777777" w:rsidTr="00336D0C">
              <w:trPr>
                <w:trHeight w:val="187"/>
                <w:jc w:val="center"/>
              </w:trPr>
              <w:tc>
                <w:tcPr>
                  <w:tcW w:w="2122" w:type="dxa"/>
                  <w:vMerge w:val="restart"/>
                  <w:tcBorders>
                    <w:top w:val="nil"/>
                  </w:tcBorders>
                </w:tcPr>
                <w:p w14:paraId="05878A7C" w14:textId="77777777" w:rsidR="00B22F2D" w:rsidRPr="0027740B" w:rsidRDefault="00B22F2D" w:rsidP="00B22F2D">
                  <w:pPr>
                    <w:pStyle w:val="TAC"/>
                  </w:pPr>
                  <w:r w:rsidRPr="00BA167E">
                    <w:rPr>
                      <w:rFonts w:cs="Arial" w:hint="eastAsia"/>
                    </w:rPr>
                    <w:t>n509, n508</w:t>
                  </w:r>
                </w:p>
              </w:tc>
              <w:tc>
                <w:tcPr>
                  <w:tcW w:w="1451" w:type="dxa"/>
                </w:tcPr>
                <w:p w14:paraId="3BD869B3" w14:textId="77777777" w:rsidR="00B22F2D" w:rsidRPr="0027740B" w:rsidRDefault="00B22F2D" w:rsidP="00B22F2D">
                  <w:pPr>
                    <w:pStyle w:val="TAC"/>
                  </w:pPr>
                  <w:r>
                    <w:rPr>
                      <w:rFonts w:eastAsia="MS Mincho" w:cs="Arial" w:hint="eastAsia"/>
                      <w:lang w:val="fr-FR" w:eastAsia="ja-JP"/>
                    </w:rPr>
                    <w:t>4</w:t>
                  </w:r>
                </w:p>
              </w:tc>
              <w:tc>
                <w:tcPr>
                  <w:tcW w:w="2805" w:type="dxa"/>
                </w:tcPr>
                <w:p w14:paraId="785BC9C5" w14:textId="77777777" w:rsidR="00B22F2D" w:rsidRPr="0027740B" w:rsidRDefault="00B22F2D" w:rsidP="00B22F2D">
                  <w:pPr>
                    <w:pStyle w:val="TAC"/>
                  </w:pPr>
                  <w:r>
                    <w:rPr>
                      <w:rFonts w:eastAsia="MS Mincho" w:cs="Arial" w:hint="eastAsia"/>
                      <w:lang w:val="fr-FR" w:eastAsia="ja-JP"/>
                    </w:rPr>
                    <w:t>70</w:t>
                  </w:r>
                </w:p>
              </w:tc>
            </w:tr>
            <w:tr w:rsidR="00B22F2D" w:rsidRPr="0027740B" w14:paraId="251B17EE" w14:textId="77777777" w:rsidTr="00336D0C">
              <w:trPr>
                <w:trHeight w:val="187"/>
                <w:jc w:val="center"/>
              </w:trPr>
              <w:tc>
                <w:tcPr>
                  <w:tcW w:w="2122" w:type="dxa"/>
                  <w:vMerge/>
                </w:tcPr>
                <w:p w14:paraId="04CA8E24" w14:textId="77777777" w:rsidR="00B22F2D" w:rsidRPr="0027740B" w:rsidRDefault="00B22F2D" w:rsidP="00B22F2D">
                  <w:pPr>
                    <w:pStyle w:val="TAC"/>
                  </w:pPr>
                </w:p>
              </w:tc>
              <w:tc>
                <w:tcPr>
                  <w:tcW w:w="1451" w:type="dxa"/>
                </w:tcPr>
                <w:p w14:paraId="69BBAEDA" w14:textId="77777777" w:rsidR="00B22F2D" w:rsidRPr="0027740B" w:rsidRDefault="00B22F2D" w:rsidP="00B22F2D">
                  <w:pPr>
                    <w:pStyle w:val="TAC"/>
                  </w:pPr>
                  <w:r>
                    <w:rPr>
                      <w:rFonts w:eastAsia="MS Mincho" w:cs="Arial" w:hint="eastAsia"/>
                      <w:lang w:val="fr-FR" w:eastAsia="ja-JP"/>
                    </w:rPr>
                    <w:t>5</w:t>
                  </w:r>
                </w:p>
              </w:tc>
              <w:tc>
                <w:tcPr>
                  <w:tcW w:w="2805" w:type="dxa"/>
                </w:tcPr>
                <w:p w14:paraId="602FCEBD" w14:textId="77777777" w:rsidR="00B22F2D" w:rsidRPr="0027740B" w:rsidRDefault="00B22F2D" w:rsidP="00B22F2D">
                  <w:pPr>
                    <w:pStyle w:val="TAC"/>
                  </w:pPr>
                  <w:r>
                    <w:rPr>
                      <w:rFonts w:eastAsia="MS Mincho" w:cs="Arial" w:hint="eastAsia"/>
                      <w:lang w:val="fr-FR" w:eastAsia="ja-JP"/>
                    </w:rPr>
                    <w:t>70</w:t>
                  </w:r>
                </w:p>
              </w:tc>
            </w:tr>
            <w:tr w:rsidR="00B22F2D" w:rsidRPr="0027740B" w14:paraId="411374E1" w14:textId="77777777" w:rsidTr="00336D0C">
              <w:trPr>
                <w:trHeight w:val="187"/>
                <w:jc w:val="center"/>
              </w:trPr>
              <w:tc>
                <w:tcPr>
                  <w:tcW w:w="2122" w:type="dxa"/>
                  <w:vMerge/>
                </w:tcPr>
                <w:p w14:paraId="1B71D530" w14:textId="77777777" w:rsidR="00B22F2D" w:rsidRPr="0027740B" w:rsidRDefault="00B22F2D" w:rsidP="00B22F2D">
                  <w:pPr>
                    <w:pStyle w:val="TAC"/>
                  </w:pPr>
                </w:p>
              </w:tc>
              <w:tc>
                <w:tcPr>
                  <w:tcW w:w="1451" w:type="dxa"/>
                </w:tcPr>
                <w:p w14:paraId="790C501A" w14:textId="77777777" w:rsidR="00B22F2D" w:rsidRPr="0027740B" w:rsidRDefault="00B22F2D" w:rsidP="00B22F2D">
                  <w:pPr>
                    <w:pStyle w:val="TAC"/>
                  </w:pPr>
                  <w:r>
                    <w:rPr>
                      <w:rFonts w:eastAsia="MS Mincho" w:cs="Arial" w:hint="eastAsia"/>
                      <w:lang w:val="fr-FR" w:eastAsia="ja-JP"/>
                    </w:rPr>
                    <w:t>6</w:t>
                  </w:r>
                </w:p>
              </w:tc>
              <w:tc>
                <w:tcPr>
                  <w:tcW w:w="2805" w:type="dxa"/>
                </w:tcPr>
                <w:p w14:paraId="6869E217" w14:textId="77777777" w:rsidR="00B22F2D" w:rsidRPr="0027740B" w:rsidRDefault="00B22F2D" w:rsidP="00B22F2D">
                  <w:pPr>
                    <w:pStyle w:val="TAC"/>
                  </w:pPr>
                  <w:r>
                    <w:rPr>
                      <w:rFonts w:eastAsia="MS Mincho" w:cs="Arial" w:hint="eastAsia"/>
                      <w:lang w:val="fr-FR" w:eastAsia="ja-JP"/>
                    </w:rPr>
                    <w:t>60</w:t>
                  </w:r>
                </w:p>
              </w:tc>
            </w:tr>
            <w:tr w:rsidR="00B22F2D" w:rsidRPr="0027740B" w14:paraId="31ADBFD8" w14:textId="77777777" w:rsidTr="00336D0C">
              <w:trPr>
                <w:trHeight w:val="187"/>
                <w:jc w:val="center"/>
              </w:trPr>
              <w:tc>
                <w:tcPr>
                  <w:tcW w:w="2122" w:type="dxa"/>
                  <w:vMerge w:val="restart"/>
                  <w:tcBorders>
                    <w:top w:val="nil"/>
                  </w:tcBorders>
                </w:tcPr>
                <w:p w14:paraId="2277C47D" w14:textId="77777777" w:rsidR="00B22F2D" w:rsidRPr="0027740B" w:rsidRDefault="00B22F2D" w:rsidP="00B22F2D">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67B9C6B3" w14:textId="77777777" w:rsidR="00B22F2D" w:rsidRPr="0027740B" w:rsidRDefault="00B22F2D" w:rsidP="00B22F2D">
                  <w:pPr>
                    <w:pStyle w:val="TAC"/>
                  </w:pPr>
                  <w:r>
                    <w:rPr>
                      <w:rFonts w:eastAsia="MS Mincho" w:cs="Arial" w:hint="eastAsia"/>
                      <w:lang w:val="fr-FR" w:eastAsia="ja-JP"/>
                    </w:rPr>
                    <w:t>4</w:t>
                  </w:r>
                </w:p>
              </w:tc>
              <w:tc>
                <w:tcPr>
                  <w:tcW w:w="2805" w:type="dxa"/>
                </w:tcPr>
                <w:p w14:paraId="5D08B251" w14:textId="77777777" w:rsidR="00B22F2D" w:rsidRPr="0027740B" w:rsidRDefault="00B22F2D" w:rsidP="00B22F2D">
                  <w:pPr>
                    <w:pStyle w:val="TAC"/>
                  </w:pPr>
                  <w:r>
                    <w:rPr>
                      <w:rFonts w:eastAsia="MS Mincho" w:cs="Arial" w:hint="eastAsia"/>
                      <w:lang w:val="fr-FR" w:eastAsia="ja-JP"/>
                    </w:rPr>
                    <w:t>70</w:t>
                  </w:r>
                </w:p>
              </w:tc>
            </w:tr>
            <w:tr w:rsidR="00B22F2D" w:rsidRPr="0027740B" w14:paraId="75FD0A30" w14:textId="77777777" w:rsidTr="00336D0C">
              <w:trPr>
                <w:trHeight w:val="187"/>
                <w:jc w:val="center"/>
              </w:trPr>
              <w:tc>
                <w:tcPr>
                  <w:tcW w:w="2122" w:type="dxa"/>
                  <w:vMerge/>
                </w:tcPr>
                <w:p w14:paraId="71A582F4" w14:textId="77777777" w:rsidR="00B22F2D" w:rsidRDefault="00B22F2D" w:rsidP="00B22F2D">
                  <w:pPr>
                    <w:pStyle w:val="TAC"/>
                    <w:rPr>
                      <w:rFonts w:eastAsia="MS Mincho" w:cs="Arial"/>
                      <w:lang w:eastAsia="ja-JP"/>
                    </w:rPr>
                  </w:pPr>
                </w:p>
              </w:tc>
              <w:tc>
                <w:tcPr>
                  <w:tcW w:w="1451" w:type="dxa"/>
                </w:tcPr>
                <w:p w14:paraId="759DC166" w14:textId="77777777" w:rsidR="00B22F2D" w:rsidRDefault="00B22F2D" w:rsidP="00B22F2D">
                  <w:pPr>
                    <w:pStyle w:val="TAC"/>
                    <w:rPr>
                      <w:rFonts w:eastAsia="MS Mincho" w:cs="Arial"/>
                      <w:lang w:val="fr-FR" w:eastAsia="ja-JP"/>
                    </w:rPr>
                  </w:pPr>
                  <w:r>
                    <w:rPr>
                      <w:rFonts w:eastAsia="MS Mincho" w:cs="Arial" w:hint="eastAsia"/>
                      <w:lang w:val="fr-FR" w:eastAsia="ja-JP"/>
                    </w:rPr>
                    <w:t>5</w:t>
                  </w:r>
                </w:p>
              </w:tc>
              <w:tc>
                <w:tcPr>
                  <w:tcW w:w="2805" w:type="dxa"/>
                </w:tcPr>
                <w:p w14:paraId="40116283" w14:textId="77777777" w:rsidR="00B22F2D" w:rsidRDefault="00B22F2D" w:rsidP="00B22F2D">
                  <w:pPr>
                    <w:pStyle w:val="TAC"/>
                    <w:rPr>
                      <w:rFonts w:eastAsia="MS Mincho" w:cs="Arial"/>
                      <w:lang w:val="fr-FR" w:eastAsia="ja-JP"/>
                    </w:rPr>
                  </w:pPr>
                  <w:r>
                    <w:rPr>
                      <w:rFonts w:eastAsia="MS Mincho" w:cs="Arial" w:hint="eastAsia"/>
                      <w:lang w:val="fr-FR" w:eastAsia="ja-JP"/>
                    </w:rPr>
                    <w:t>70</w:t>
                  </w:r>
                </w:p>
              </w:tc>
            </w:tr>
            <w:tr w:rsidR="00B22F2D" w:rsidRPr="0027740B" w14:paraId="1A13DE28" w14:textId="77777777" w:rsidTr="00336D0C">
              <w:trPr>
                <w:trHeight w:val="187"/>
                <w:jc w:val="center"/>
              </w:trPr>
              <w:tc>
                <w:tcPr>
                  <w:tcW w:w="2122" w:type="dxa"/>
                  <w:vMerge/>
                </w:tcPr>
                <w:p w14:paraId="077CC209" w14:textId="77777777" w:rsidR="00B22F2D" w:rsidRDefault="00B22F2D" w:rsidP="00B22F2D">
                  <w:pPr>
                    <w:pStyle w:val="TAC"/>
                    <w:rPr>
                      <w:rFonts w:eastAsia="MS Mincho" w:cs="Arial"/>
                      <w:lang w:eastAsia="ja-JP"/>
                    </w:rPr>
                  </w:pPr>
                </w:p>
              </w:tc>
              <w:tc>
                <w:tcPr>
                  <w:tcW w:w="1451" w:type="dxa"/>
                </w:tcPr>
                <w:p w14:paraId="582C8AA4" w14:textId="77777777" w:rsidR="00B22F2D" w:rsidRDefault="00B22F2D" w:rsidP="00B22F2D">
                  <w:pPr>
                    <w:pStyle w:val="TAC"/>
                    <w:rPr>
                      <w:rFonts w:eastAsia="MS Mincho" w:cs="Arial"/>
                      <w:lang w:val="fr-FR" w:eastAsia="ja-JP"/>
                    </w:rPr>
                  </w:pPr>
                  <w:r>
                    <w:rPr>
                      <w:rFonts w:eastAsia="MS Mincho" w:cs="Arial" w:hint="eastAsia"/>
                      <w:lang w:val="fr-FR" w:eastAsia="ja-JP"/>
                    </w:rPr>
                    <w:t>6</w:t>
                  </w:r>
                </w:p>
              </w:tc>
              <w:tc>
                <w:tcPr>
                  <w:tcW w:w="2805" w:type="dxa"/>
                </w:tcPr>
                <w:p w14:paraId="3FCF9855" w14:textId="77777777" w:rsidR="00B22F2D" w:rsidRDefault="00B22F2D" w:rsidP="00B22F2D">
                  <w:pPr>
                    <w:pStyle w:val="TAC"/>
                    <w:rPr>
                      <w:rFonts w:eastAsia="MS Mincho" w:cs="Arial"/>
                      <w:lang w:val="fr-FR" w:eastAsia="ja-JP"/>
                    </w:rPr>
                  </w:pPr>
                  <w:r>
                    <w:rPr>
                      <w:rFonts w:eastAsia="MS Mincho" w:cs="Arial" w:hint="eastAsia"/>
                      <w:lang w:val="fr-FR" w:eastAsia="ja-JP"/>
                    </w:rPr>
                    <w:t>60</w:t>
                  </w:r>
                </w:p>
              </w:tc>
            </w:tr>
            <w:tr w:rsidR="00B22F2D" w:rsidRPr="00C04A08" w14:paraId="7EF0E8D1" w14:textId="77777777" w:rsidTr="00336D0C">
              <w:trPr>
                <w:trHeight w:val="291"/>
                <w:jc w:val="center"/>
              </w:trPr>
              <w:tc>
                <w:tcPr>
                  <w:tcW w:w="6378" w:type="dxa"/>
                  <w:gridSpan w:val="3"/>
                </w:tcPr>
                <w:p w14:paraId="073E5FE1" w14:textId="77777777" w:rsidR="00B22F2D" w:rsidRPr="00B22F2D" w:rsidRDefault="00B22F2D" w:rsidP="00B22F2D">
                  <w:pPr>
                    <w:pStyle w:val="TAN"/>
                    <w:rPr>
                      <w:lang w:val="en-US"/>
                    </w:rPr>
                  </w:pPr>
                  <w:r w:rsidRPr="00B22F2D">
                    <w:rPr>
                      <w:rFonts w:cs="Arial"/>
                      <w:szCs w:val="18"/>
                      <w:lang w:val="en-US"/>
                    </w:rPr>
                    <w:t>NOTE 1:</w:t>
                  </w:r>
                  <w:r w:rsidRPr="00B22F2D">
                    <w:rPr>
                      <w:rFonts w:cs="Arial"/>
                      <w:szCs w:val="18"/>
                      <w:shd w:val="clear" w:color="auto" w:fill="FFFFFF"/>
                      <w:lang w:val="en-US"/>
                    </w:rPr>
                    <w:tab/>
                  </w:r>
                  <w:r w:rsidRPr="00B22F2D">
                    <w:rPr>
                      <w:rFonts w:cs="Arial"/>
                      <w:szCs w:val="18"/>
                      <w:lang w:val="en-US"/>
                    </w:rPr>
                    <w:t>Minimum peak EIRP is defined as the lower limit without tolerance. The value corresponds to a 100 MHz CBW configuration with 66 RBs and 120 kHz SCS.</w:t>
                  </w:r>
                </w:p>
              </w:tc>
            </w:tr>
          </w:tbl>
          <w:p w14:paraId="7B208EF6" w14:textId="77777777" w:rsidR="00B22F2D" w:rsidRPr="00F14795" w:rsidRDefault="00B22F2D" w:rsidP="00B22F2D"/>
          <w:p w14:paraId="2B196915" w14:textId="77777777" w:rsidR="00B22F2D" w:rsidRPr="00C04A08" w:rsidRDefault="00B22F2D" w:rsidP="00B22F2D">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p>
          <w:p w14:paraId="08E10BE5" w14:textId="77777777" w:rsidR="00B22F2D" w:rsidRPr="00B22F2D" w:rsidRDefault="00B22F2D" w:rsidP="00B22F2D">
            <w:pPr>
              <w:pStyle w:val="TH"/>
              <w:rPr>
                <w:lang w:val="en-US"/>
              </w:rPr>
            </w:pPr>
            <w:r w:rsidRPr="00B22F2D">
              <w:rPr>
                <w:lang w:val="en-US"/>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22F2D" w:rsidRPr="00C04A08" w14:paraId="6B1D1EC9" w14:textId="77777777" w:rsidTr="00336D0C">
              <w:trPr>
                <w:trHeight w:val="187"/>
                <w:jc w:val="center"/>
              </w:trPr>
              <w:tc>
                <w:tcPr>
                  <w:tcW w:w="1663" w:type="dxa"/>
                  <w:vAlign w:val="center"/>
                </w:tcPr>
                <w:p w14:paraId="3C920BAF" w14:textId="77777777" w:rsidR="00B22F2D" w:rsidRPr="00C04A08" w:rsidRDefault="00B22F2D" w:rsidP="00B22F2D">
                  <w:pPr>
                    <w:pStyle w:val="TAH"/>
                  </w:pPr>
                  <w:r w:rsidRPr="00C04A08">
                    <w:t>Operating band</w:t>
                  </w:r>
                </w:p>
              </w:tc>
              <w:tc>
                <w:tcPr>
                  <w:tcW w:w="1691" w:type="dxa"/>
                </w:tcPr>
                <w:p w14:paraId="49D71AF4" w14:textId="77777777" w:rsidR="00B22F2D" w:rsidRDefault="00B22F2D" w:rsidP="00B22F2D">
                  <w:pPr>
                    <w:pStyle w:val="TAH"/>
                  </w:pPr>
                  <w:r>
                    <w:t>UE Type</w:t>
                  </w:r>
                </w:p>
              </w:tc>
              <w:tc>
                <w:tcPr>
                  <w:tcW w:w="1691" w:type="dxa"/>
                </w:tcPr>
                <w:p w14:paraId="5C31EF6F" w14:textId="77777777" w:rsidR="00B22F2D" w:rsidRPr="00C04A08" w:rsidRDefault="00B22F2D" w:rsidP="00B22F2D">
                  <w:pPr>
                    <w:pStyle w:val="TAH"/>
                  </w:pPr>
                  <w:r>
                    <w:rPr>
                      <w:lang w:val="en-US"/>
                    </w:rPr>
                    <w:t>TRP</w:t>
                  </w:r>
                  <w:r w:rsidRPr="008E574D">
                    <w:rPr>
                      <w:vertAlign w:val="subscript"/>
                      <w:lang w:val="en-US"/>
                    </w:rPr>
                    <w:t>MAX</w:t>
                  </w:r>
                  <w:r w:rsidDel="006D41E0">
                    <w:t xml:space="preserve"> </w:t>
                  </w:r>
                  <w:r>
                    <w:t>(dBm)</w:t>
                  </w:r>
                </w:p>
              </w:tc>
              <w:tc>
                <w:tcPr>
                  <w:tcW w:w="1691" w:type="dxa"/>
                </w:tcPr>
                <w:p w14:paraId="02BB6BA4" w14:textId="77777777" w:rsidR="00B22F2D" w:rsidRPr="00C04A08" w:rsidRDefault="00B22F2D" w:rsidP="00B22F2D">
                  <w:pPr>
                    <w:pStyle w:val="TAH"/>
                  </w:pPr>
                  <w:r w:rsidRPr="00C04A08">
                    <w:t>EIRP</w:t>
                  </w:r>
                  <w:r w:rsidRPr="00C04A08">
                    <w:rPr>
                      <w:vertAlign w:val="subscript"/>
                    </w:rPr>
                    <w:t>max</w:t>
                  </w:r>
                  <w:r w:rsidRPr="00C04A08">
                    <w:t xml:space="preserve"> (dBm)</w:t>
                  </w:r>
                </w:p>
              </w:tc>
            </w:tr>
            <w:tr w:rsidR="00B22F2D" w:rsidRPr="00C04A08" w14:paraId="60934C5D" w14:textId="77777777" w:rsidTr="00336D0C">
              <w:trPr>
                <w:trHeight w:val="187"/>
                <w:jc w:val="center"/>
              </w:trPr>
              <w:tc>
                <w:tcPr>
                  <w:tcW w:w="1663" w:type="dxa"/>
                  <w:vMerge w:val="restart"/>
                </w:tcPr>
                <w:p w14:paraId="5732E54E" w14:textId="77777777" w:rsidR="00B22F2D" w:rsidRPr="00C04A08" w:rsidRDefault="00B22F2D" w:rsidP="00B22F2D">
                  <w:pPr>
                    <w:pStyle w:val="TAC"/>
                  </w:pPr>
                  <w:r>
                    <w:t>n512, n511, n510</w:t>
                  </w:r>
                </w:p>
              </w:tc>
              <w:tc>
                <w:tcPr>
                  <w:tcW w:w="1691" w:type="dxa"/>
                </w:tcPr>
                <w:p w14:paraId="5693BB79" w14:textId="77777777" w:rsidR="00B22F2D" w:rsidRDefault="00B22F2D" w:rsidP="00B22F2D">
                  <w:pPr>
                    <w:pStyle w:val="TAC"/>
                  </w:pPr>
                  <w:r>
                    <w:t>4</w:t>
                  </w:r>
                </w:p>
              </w:tc>
              <w:tc>
                <w:tcPr>
                  <w:tcW w:w="1691" w:type="dxa"/>
                </w:tcPr>
                <w:p w14:paraId="7C8BFE80" w14:textId="77777777" w:rsidR="00B22F2D" w:rsidRDefault="00B22F2D" w:rsidP="00B22F2D">
                  <w:pPr>
                    <w:pStyle w:val="TAC"/>
                  </w:pPr>
                  <w:r>
                    <w:t>35</w:t>
                  </w:r>
                </w:p>
              </w:tc>
              <w:tc>
                <w:tcPr>
                  <w:tcW w:w="1691" w:type="dxa"/>
                </w:tcPr>
                <w:p w14:paraId="21AF63C5" w14:textId="77777777" w:rsidR="00B22F2D" w:rsidRPr="00C04A08" w:rsidRDefault="00B22F2D" w:rsidP="00B22F2D">
                  <w:pPr>
                    <w:pStyle w:val="TAC"/>
                  </w:pPr>
                  <w:r>
                    <w:t>76.2</w:t>
                  </w:r>
                  <w:r w:rsidRPr="001504BE">
                    <w:rPr>
                      <w:rFonts w:eastAsia="MS Mincho" w:cs="Arial" w:hint="eastAsia"/>
                      <w:vertAlign w:val="superscript"/>
                      <w:lang w:val="fr-FR" w:eastAsia="ja-JP"/>
                    </w:rPr>
                    <w:t>1</w:t>
                  </w:r>
                </w:p>
              </w:tc>
            </w:tr>
            <w:tr w:rsidR="00B22F2D" w:rsidRPr="00C04A08" w14:paraId="36604DD3" w14:textId="77777777" w:rsidTr="00336D0C">
              <w:trPr>
                <w:trHeight w:val="187"/>
                <w:jc w:val="center"/>
              </w:trPr>
              <w:tc>
                <w:tcPr>
                  <w:tcW w:w="1663" w:type="dxa"/>
                  <w:vMerge/>
                </w:tcPr>
                <w:p w14:paraId="0DE576C9" w14:textId="77777777" w:rsidR="00B22F2D" w:rsidRDefault="00B22F2D" w:rsidP="00B22F2D">
                  <w:pPr>
                    <w:pStyle w:val="TAC"/>
                  </w:pPr>
                </w:p>
              </w:tc>
              <w:tc>
                <w:tcPr>
                  <w:tcW w:w="1691" w:type="dxa"/>
                </w:tcPr>
                <w:p w14:paraId="370ABF2F" w14:textId="77777777" w:rsidR="00B22F2D" w:rsidRDefault="00B22F2D" w:rsidP="00B22F2D">
                  <w:pPr>
                    <w:pStyle w:val="TAC"/>
                  </w:pPr>
                  <w:r>
                    <w:t>5</w:t>
                  </w:r>
                </w:p>
              </w:tc>
              <w:tc>
                <w:tcPr>
                  <w:tcW w:w="1691" w:type="dxa"/>
                </w:tcPr>
                <w:p w14:paraId="32553076" w14:textId="77777777" w:rsidR="00B22F2D" w:rsidRDefault="00B22F2D" w:rsidP="00B22F2D">
                  <w:pPr>
                    <w:pStyle w:val="TAC"/>
                  </w:pPr>
                  <w:r>
                    <w:t>43</w:t>
                  </w:r>
                </w:p>
              </w:tc>
              <w:tc>
                <w:tcPr>
                  <w:tcW w:w="1691" w:type="dxa"/>
                </w:tcPr>
                <w:p w14:paraId="0930F62A" w14:textId="77777777" w:rsidR="00B22F2D" w:rsidRDefault="00B22F2D" w:rsidP="00B22F2D">
                  <w:pPr>
                    <w:pStyle w:val="TAC"/>
                  </w:pPr>
                  <w:r>
                    <w:t>76.2</w:t>
                  </w:r>
                  <w:r w:rsidRPr="001504BE">
                    <w:rPr>
                      <w:rFonts w:eastAsia="MS Mincho" w:cs="Arial" w:hint="eastAsia"/>
                      <w:vertAlign w:val="superscript"/>
                      <w:lang w:val="fr-FR" w:eastAsia="ja-JP"/>
                    </w:rPr>
                    <w:t>1</w:t>
                  </w:r>
                </w:p>
              </w:tc>
            </w:tr>
            <w:tr w:rsidR="00B22F2D" w:rsidRPr="00C04A08" w14:paraId="74F5DCAB" w14:textId="77777777" w:rsidTr="00336D0C">
              <w:trPr>
                <w:trHeight w:val="187"/>
                <w:jc w:val="center"/>
              </w:trPr>
              <w:tc>
                <w:tcPr>
                  <w:tcW w:w="1663" w:type="dxa"/>
                  <w:vMerge w:val="restart"/>
                </w:tcPr>
                <w:p w14:paraId="279663B5" w14:textId="77777777" w:rsidR="00B22F2D" w:rsidRDefault="00B22F2D" w:rsidP="00B22F2D">
                  <w:pPr>
                    <w:pStyle w:val="TAC"/>
                  </w:pPr>
                  <w:r w:rsidRPr="00BA167E">
                    <w:rPr>
                      <w:rFonts w:cs="Arial" w:hint="eastAsia"/>
                    </w:rPr>
                    <w:t>n509, n508</w:t>
                  </w:r>
                </w:p>
              </w:tc>
              <w:tc>
                <w:tcPr>
                  <w:tcW w:w="1691" w:type="dxa"/>
                </w:tcPr>
                <w:p w14:paraId="4F7BD83E" w14:textId="77777777" w:rsidR="00B22F2D" w:rsidRDefault="00B22F2D" w:rsidP="00B22F2D">
                  <w:pPr>
                    <w:pStyle w:val="TAC"/>
                  </w:pPr>
                  <w:r>
                    <w:rPr>
                      <w:rFonts w:eastAsia="MS Mincho" w:cs="Arial" w:hint="eastAsia"/>
                      <w:lang w:val="fr-FR" w:eastAsia="ja-JP"/>
                    </w:rPr>
                    <w:t>4</w:t>
                  </w:r>
                </w:p>
              </w:tc>
              <w:tc>
                <w:tcPr>
                  <w:tcW w:w="1691" w:type="dxa"/>
                </w:tcPr>
                <w:p w14:paraId="5D2392EC" w14:textId="77777777" w:rsidR="00B22F2D" w:rsidRDefault="00B22F2D" w:rsidP="00B22F2D">
                  <w:pPr>
                    <w:pStyle w:val="TAC"/>
                  </w:pPr>
                  <w:r>
                    <w:rPr>
                      <w:rFonts w:eastAsia="MS Mincho" w:cs="Arial" w:hint="eastAsia"/>
                      <w:lang w:val="fr-FR" w:eastAsia="ja-JP"/>
                    </w:rPr>
                    <w:t>47</w:t>
                  </w:r>
                </w:p>
              </w:tc>
              <w:tc>
                <w:tcPr>
                  <w:tcW w:w="1691" w:type="dxa"/>
                </w:tcPr>
                <w:p w14:paraId="38C83DC1" w14:textId="77777777" w:rsidR="00B22F2D" w:rsidRDefault="00B22F2D" w:rsidP="00B22F2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B22F2D" w:rsidRPr="00C04A08" w14:paraId="237E3822" w14:textId="77777777" w:rsidTr="00336D0C">
              <w:trPr>
                <w:trHeight w:val="187"/>
                <w:jc w:val="center"/>
              </w:trPr>
              <w:tc>
                <w:tcPr>
                  <w:tcW w:w="1663" w:type="dxa"/>
                  <w:vMerge/>
                  <w:vAlign w:val="center"/>
                </w:tcPr>
                <w:p w14:paraId="171F77DF" w14:textId="77777777" w:rsidR="00B22F2D" w:rsidRDefault="00B22F2D" w:rsidP="00B22F2D">
                  <w:pPr>
                    <w:pStyle w:val="TAC"/>
                  </w:pPr>
                </w:p>
              </w:tc>
              <w:tc>
                <w:tcPr>
                  <w:tcW w:w="1691" w:type="dxa"/>
                </w:tcPr>
                <w:p w14:paraId="2D466148" w14:textId="77777777" w:rsidR="00B22F2D" w:rsidRDefault="00B22F2D" w:rsidP="00B22F2D">
                  <w:pPr>
                    <w:pStyle w:val="TAC"/>
                  </w:pPr>
                  <w:r>
                    <w:rPr>
                      <w:rFonts w:eastAsia="MS Mincho" w:cs="Arial" w:hint="eastAsia"/>
                      <w:lang w:val="fr-FR" w:eastAsia="ja-JP"/>
                    </w:rPr>
                    <w:t>5</w:t>
                  </w:r>
                </w:p>
              </w:tc>
              <w:tc>
                <w:tcPr>
                  <w:tcW w:w="1691" w:type="dxa"/>
                </w:tcPr>
                <w:p w14:paraId="000ED4A3" w14:textId="77777777" w:rsidR="00B22F2D" w:rsidRDefault="00B22F2D" w:rsidP="00B22F2D">
                  <w:pPr>
                    <w:pStyle w:val="TAC"/>
                  </w:pPr>
                  <w:r>
                    <w:rPr>
                      <w:rFonts w:eastAsia="MS Mincho" w:cs="Arial" w:hint="eastAsia"/>
                      <w:lang w:val="fr-FR" w:eastAsia="ja-JP"/>
                    </w:rPr>
                    <w:t>47</w:t>
                  </w:r>
                </w:p>
              </w:tc>
              <w:tc>
                <w:tcPr>
                  <w:tcW w:w="1691" w:type="dxa"/>
                </w:tcPr>
                <w:p w14:paraId="54001DA5" w14:textId="77777777" w:rsidR="00B22F2D" w:rsidRDefault="00B22F2D" w:rsidP="00B22F2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B22F2D" w:rsidRPr="00C04A08" w14:paraId="1E58DC0B" w14:textId="77777777" w:rsidTr="00336D0C">
              <w:trPr>
                <w:trHeight w:val="187"/>
                <w:jc w:val="center"/>
              </w:trPr>
              <w:tc>
                <w:tcPr>
                  <w:tcW w:w="1663" w:type="dxa"/>
                  <w:vMerge/>
                  <w:vAlign w:val="center"/>
                </w:tcPr>
                <w:p w14:paraId="3C3C34C3" w14:textId="77777777" w:rsidR="00B22F2D" w:rsidRDefault="00B22F2D" w:rsidP="00B22F2D">
                  <w:pPr>
                    <w:pStyle w:val="TAC"/>
                  </w:pPr>
                </w:p>
              </w:tc>
              <w:tc>
                <w:tcPr>
                  <w:tcW w:w="1691" w:type="dxa"/>
                </w:tcPr>
                <w:p w14:paraId="6CC0F075" w14:textId="77777777" w:rsidR="00B22F2D" w:rsidRDefault="00B22F2D" w:rsidP="00B22F2D">
                  <w:pPr>
                    <w:pStyle w:val="TAC"/>
                  </w:pPr>
                  <w:r>
                    <w:rPr>
                      <w:rFonts w:eastAsia="MS Mincho" w:cs="Arial" w:hint="eastAsia"/>
                      <w:lang w:val="fr-FR" w:eastAsia="ja-JP"/>
                    </w:rPr>
                    <w:t>6</w:t>
                  </w:r>
                </w:p>
              </w:tc>
              <w:tc>
                <w:tcPr>
                  <w:tcW w:w="1691" w:type="dxa"/>
                </w:tcPr>
                <w:p w14:paraId="40D5AD9E" w14:textId="77777777" w:rsidR="00B22F2D" w:rsidRDefault="00B22F2D" w:rsidP="00B22F2D">
                  <w:pPr>
                    <w:pStyle w:val="TAC"/>
                  </w:pPr>
                  <w:r>
                    <w:rPr>
                      <w:rFonts w:eastAsia="MS Mincho" w:cs="Arial" w:hint="eastAsia"/>
                      <w:lang w:val="fr-FR" w:eastAsia="ja-JP"/>
                    </w:rPr>
                    <w:t>40</w:t>
                  </w:r>
                </w:p>
              </w:tc>
              <w:tc>
                <w:tcPr>
                  <w:tcW w:w="1691" w:type="dxa"/>
                </w:tcPr>
                <w:p w14:paraId="60725CA4" w14:textId="77777777" w:rsidR="00B22F2D" w:rsidRDefault="00B22F2D" w:rsidP="00B22F2D">
                  <w:pPr>
                    <w:pStyle w:val="TAC"/>
                  </w:pPr>
                  <w:r>
                    <w:rPr>
                      <w:rFonts w:eastAsia="MS Mincho" w:cs="Arial" w:hint="eastAsia"/>
                      <w:lang w:val="fr-FR" w:eastAsia="ja-JP"/>
                    </w:rPr>
                    <w:t>76.6</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B22F2D" w:rsidRPr="00C04A08" w14:paraId="0CFCF6CB" w14:textId="77777777" w:rsidTr="00336D0C">
              <w:trPr>
                <w:trHeight w:val="187"/>
                <w:jc w:val="center"/>
              </w:trPr>
              <w:tc>
                <w:tcPr>
                  <w:tcW w:w="1663" w:type="dxa"/>
                  <w:vMerge w:val="restart"/>
                </w:tcPr>
                <w:p w14:paraId="51FE4B04" w14:textId="77777777" w:rsidR="00B22F2D" w:rsidRDefault="00B22F2D" w:rsidP="00B22F2D">
                  <w:pPr>
                    <w:pStyle w:val="TAC"/>
                  </w:pPr>
                  <w:r w:rsidRPr="00BA167E">
                    <w:rPr>
                      <w:rFonts w:cs="Arial" w:hint="eastAsia"/>
                    </w:rPr>
                    <w:t>n248, n247</w:t>
                  </w:r>
                </w:p>
              </w:tc>
              <w:tc>
                <w:tcPr>
                  <w:tcW w:w="1691" w:type="dxa"/>
                </w:tcPr>
                <w:p w14:paraId="2390BB10" w14:textId="77777777" w:rsidR="00B22F2D" w:rsidRDefault="00B22F2D" w:rsidP="00B22F2D">
                  <w:pPr>
                    <w:pStyle w:val="TAC"/>
                  </w:pPr>
                  <w:r>
                    <w:rPr>
                      <w:rFonts w:eastAsia="MS Mincho" w:cs="Arial" w:hint="eastAsia"/>
                      <w:lang w:val="fr-FR" w:eastAsia="ja-JP"/>
                    </w:rPr>
                    <w:t>4</w:t>
                  </w:r>
                </w:p>
              </w:tc>
              <w:tc>
                <w:tcPr>
                  <w:tcW w:w="1691" w:type="dxa"/>
                </w:tcPr>
                <w:p w14:paraId="026509CA" w14:textId="77777777" w:rsidR="00B22F2D" w:rsidRDefault="00B22F2D" w:rsidP="00B22F2D">
                  <w:pPr>
                    <w:pStyle w:val="TAC"/>
                  </w:pPr>
                  <w:r>
                    <w:rPr>
                      <w:rFonts w:eastAsia="MS Mincho" w:cs="Arial" w:hint="eastAsia"/>
                      <w:lang w:val="fr-FR" w:eastAsia="ja-JP"/>
                    </w:rPr>
                    <w:t>47</w:t>
                  </w:r>
                </w:p>
              </w:tc>
              <w:tc>
                <w:tcPr>
                  <w:tcW w:w="1691" w:type="dxa"/>
                </w:tcPr>
                <w:p w14:paraId="79354DF7" w14:textId="77777777" w:rsidR="00B22F2D" w:rsidRDefault="00B22F2D" w:rsidP="00B22F2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B22F2D" w:rsidRPr="00C04A08" w14:paraId="08E47A39" w14:textId="77777777" w:rsidTr="00336D0C">
              <w:trPr>
                <w:trHeight w:val="187"/>
                <w:jc w:val="center"/>
              </w:trPr>
              <w:tc>
                <w:tcPr>
                  <w:tcW w:w="1663" w:type="dxa"/>
                  <w:vMerge/>
                  <w:vAlign w:val="center"/>
                </w:tcPr>
                <w:p w14:paraId="5F94901A" w14:textId="77777777" w:rsidR="00B22F2D" w:rsidRDefault="00B22F2D" w:rsidP="00B22F2D">
                  <w:pPr>
                    <w:pStyle w:val="TAC"/>
                  </w:pPr>
                </w:p>
              </w:tc>
              <w:tc>
                <w:tcPr>
                  <w:tcW w:w="1691" w:type="dxa"/>
                </w:tcPr>
                <w:p w14:paraId="616924C9" w14:textId="77777777" w:rsidR="00B22F2D" w:rsidRDefault="00B22F2D" w:rsidP="00B22F2D">
                  <w:pPr>
                    <w:pStyle w:val="TAC"/>
                  </w:pPr>
                  <w:r>
                    <w:rPr>
                      <w:rFonts w:eastAsia="MS Mincho" w:cs="Arial" w:hint="eastAsia"/>
                      <w:lang w:val="fr-FR" w:eastAsia="ja-JP"/>
                    </w:rPr>
                    <w:t>5</w:t>
                  </w:r>
                </w:p>
              </w:tc>
              <w:tc>
                <w:tcPr>
                  <w:tcW w:w="1691" w:type="dxa"/>
                </w:tcPr>
                <w:p w14:paraId="19B53014" w14:textId="77777777" w:rsidR="00B22F2D" w:rsidRDefault="00B22F2D" w:rsidP="00B22F2D">
                  <w:pPr>
                    <w:pStyle w:val="TAC"/>
                  </w:pPr>
                  <w:r>
                    <w:rPr>
                      <w:rFonts w:eastAsia="MS Mincho" w:cs="Arial" w:hint="eastAsia"/>
                      <w:lang w:val="fr-FR" w:eastAsia="ja-JP"/>
                    </w:rPr>
                    <w:t>47</w:t>
                  </w:r>
                </w:p>
              </w:tc>
              <w:tc>
                <w:tcPr>
                  <w:tcW w:w="1691" w:type="dxa"/>
                </w:tcPr>
                <w:p w14:paraId="570228CF" w14:textId="77777777" w:rsidR="00B22F2D" w:rsidRDefault="00B22F2D" w:rsidP="00B22F2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B22F2D" w:rsidRPr="00C04A08" w14:paraId="4D899950" w14:textId="77777777" w:rsidTr="00336D0C">
              <w:trPr>
                <w:trHeight w:val="187"/>
                <w:jc w:val="center"/>
              </w:trPr>
              <w:tc>
                <w:tcPr>
                  <w:tcW w:w="1663" w:type="dxa"/>
                  <w:vMerge/>
                  <w:vAlign w:val="center"/>
                </w:tcPr>
                <w:p w14:paraId="40319B33" w14:textId="77777777" w:rsidR="00B22F2D" w:rsidRDefault="00B22F2D" w:rsidP="00B22F2D">
                  <w:pPr>
                    <w:pStyle w:val="TAC"/>
                  </w:pPr>
                </w:p>
              </w:tc>
              <w:tc>
                <w:tcPr>
                  <w:tcW w:w="1691" w:type="dxa"/>
                </w:tcPr>
                <w:p w14:paraId="4A1BB9BC" w14:textId="77777777" w:rsidR="00B22F2D" w:rsidRDefault="00B22F2D" w:rsidP="00B22F2D">
                  <w:pPr>
                    <w:pStyle w:val="TAC"/>
                  </w:pPr>
                  <w:r>
                    <w:rPr>
                      <w:rFonts w:eastAsia="MS Mincho" w:cs="Arial" w:hint="eastAsia"/>
                      <w:lang w:val="fr-FR" w:eastAsia="ja-JP"/>
                    </w:rPr>
                    <w:t>6</w:t>
                  </w:r>
                </w:p>
              </w:tc>
              <w:tc>
                <w:tcPr>
                  <w:tcW w:w="1691" w:type="dxa"/>
                </w:tcPr>
                <w:p w14:paraId="24B142B5" w14:textId="77777777" w:rsidR="00B22F2D" w:rsidRDefault="00B22F2D" w:rsidP="00B22F2D">
                  <w:pPr>
                    <w:pStyle w:val="TAC"/>
                  </w:pPr>
                  <w:r>
                    <w:rPr>
                      <w:rFonts w:eastAsia="MS Mincho" w:cs="Arial" w:hint="eastAsia"/>
                      <w:lang w:val="fr-FR" w:eastAsia="ja-JP"/>
                    </w:rPr>
                    <w:t>40</w:t>
                  </w:r>
                </w:p>
              </w:tc>
              <w:tc>
                <w:tcPr>
                  <w:tcW w:w="1691" w:type="dxa"/>
                </w:tcPr>
                <w:p w14:paraId="3F58D253" w14:textId="77777777" w:rsidR="00B22F2D" w:rsidRDefault="00B22F2D" w:rsidP="00B22F2D">
                  <w:pPr>
                    <w:pStyle w:val="TAC"/>
                  </w:pPr>
                  <w:r>
                    <w:rPr>
                      <w:rFonts w:eastAsia="MS Mincho" w:cs="Arial" w:hint="eastAsia"/>
                      <w:lang w:val="fr-FR" w:eastAsia="ja-JP"/>
                    </w:rPr>
                    <w:t>76.6</w:t>
                  </w:r>
                  <w:r w:rsidRPr="00D8666F">
                    <w:rPr>
                      <w:rFonts w:eastAsia="MS Mincho" w:cs="Arial" w:hint="eastAsia"/>
                      <w:vertAlign w:val="superscript"/>
                      <w:lang w:val="fr-FR" w:eastAsia="ja-JP"/>
                    </w:rPr>
                    <w:t>3</w:t>
                  </w:r>
                  <w:r>
                    <w:rPr>
                      <w:rFonts w:eastAsia="MS Mincho" w:cs="Arial" w:hint="eastAsia"/>
                      <w:vertAlign w:val="superscript"/>
                      <w:lang w:val="fr-FR" w:eastAsia="ja-JP"/>
                    </w:rPr>
                    <w:t>,4</w:t>
                  </w:r>
                </w:p>
              </w:tc>
            </w:tr>
            <w:tr w:rsidR="00B22F2D" w:rsidRPr="00C04A08" w14:paraId="57690D82" w14:textId="77777777" w:rsidTr="00336D0C">
              <w:trPr>
                <w:trHeight w:val="187"/>
                <w:jc w:val="center"/>
              </w:trPr>
              <w:tc>
                <w:tcPr>
                  <w:tcW w:w="6736" w:type="dxa"/>
                  <w:gridSpan w:val="4"/>
                </w:tcPr>
                <w:p w14:paraId="32CB5FC4" w14:textId="77777777" w:rsidR="00B22F2D" w:rsidRPr="00782F48" w:rsidRDefault="00B22F2D" w:rsidP="00B22F2D">
                  <w:pPr>
                    <w:pStyle w:val="TAN"/>
                    <w:rPr>
                      <w:rFonts w:eastAsia="MS Mincho" w:cs="Arial"/>
                      <w:lang w:val="fr-FR" w:eastAsia="ja-JP"/>
                    </w:rPr>
                  </w:pPr>
                  <w:r w:rsidRPr="00B22F2D">
                    <w:rPr>
                      <w:rFonts w:hint="eastAsia"/>
                      <w:lang w:val="en-US"/>
                    </w:rPr>
                    <w:t>N</w:t>
                  </w:r>
                  <w:r w:rsidRPr="00B22F2D">
                    <w:rPr>
                      <w:lang w:val="en-US"/>
                    </w:rPr>
                    <w:t>OTE 1:</w:t>
                  </w:r>
                  <w:r w:rsidRPr="00B22F2D">
                    <w:rPr>
                      <w:lang w:val="en-US"/>
                    </w:rPr>
                    <w:tab/>
                    <w:t>Maximum EIRP is defined using 13RBs allocation with 120kHz SCS.</w:t>
                  </w:r>
                </w:p>
                <w:p w14:paraId="3F25A38A" w14:textId="77777777" w:rsidR="00B22F2D" w:rsidRPr="00B22F2D" w:rsidRDefault="00B22F2D" w:rsidP="00B22F2D">
                  <w:pPr>
                    <w:pStyle w:val="TAN"/>
                    <w:rPr>
                      <w:rFonts w:eastAsia="MS Mincho" w:cs="Arial"/>
                      <w:lang w:val="en-US" w:eastAsia="ja-JP"/>
                    </w:rPr>
                  </w:pPr>
                  <w:r w:rsidRPr="00B22F2D">
                    <w:rPr>
                      <w:rFonts w:eastAsia="MS Mincho" w:cs="Arial"/>
                      <w:lang w:val="en-US" w:eastAsia="ja-JP"/>
                    </w:rPr>
                    <w:t>NOTE</w:t>
                  </w:r>
                  <w:r w:rsidRPr="00B22F2D">
                    <w:rPr>
                      <w:rFonts w:eastAsia="MS Mincho" w:cs="Arial" w:hint="eastAsia"/>
                      <w:lang w:val="en-US" w:eastAsia="ja-JP"/>
                    </w:rPr>
                    <w:t xml:space="preserve"> 2</w:t>
                  </w:r>
                  <w:r w:rsidRPr="00B22F2D">
                    <w:rPr>
                      <w:rFonts w:eastAsia="MS Mincho" w:cs="Arial"/>
                      <w:lang w:val="en-US" w:eastAsia="ja-JP"/>
                    </w:rPr>
                    <w:t>:</w:t>
                  </w:r>
                  <w:r w:rsidRPr="00B22F2D">
                    <w:rPr>
                      <w:rFonts w:eastAsia="MS Mincho" w:cs="Arial"/>
                      <w:lang w:val="en-US" w:eastAsia="ja-JP"/>
                    </w:rPr>
                    <w:tab/>
                    <w:t>M</w:t>
                  </w:r>
                  <w:r w:rsidRPr="00B22F2D">
                    <w:rPr>
                      <w:rFonts w:eastAsia="MS Mincho" w:cs="Arial" w:hint="eastAsia"/>
                      <w:lang w:val="en-US" w:eastAsia="ja-JP"/>
                    </w:rPr>
                    <w:t>aximum</w:t>
                  </w:r>
                  <w:r w:rsidRPr="00B22F2D">
                    <w:rPr>
                      <w:rFonts w:eastAsia="MS Mincho" w:cs="Arial"/>
                      <w:lang w:val="en-US" w:eastAsia="ja-JP"/>
                    </w:rPr>
                    <w:t xml:space="preserve"> EIRP is defined </w:t>
                  </w:r>
                  <w:r w:rsidRPr="00B22F2D">
                    <w:rPr>
                      <w:rFonts w:eastAsia="MS Mincho" w:cs="Arial" w:hint="eastAsia"/>
                      <w:lang w:val="en-US" w:eastAsia="ja-JP"/>
                    </w:rPr>
                    <w:t>using 6</w:t>
                  </w:r>
                  <w:r w:rsidRPr="00B22F2D">
                    <w:rPr>
                      <w:rFonts w:eastAsia="MS Mincho" w:cs="Arial"/>
                      <w:lang w:val="en-US" w:eastAsia="ja-JP"/>
                    </w:rPr>
                    <w:t xml:space="preserve">RBs allocation with </w:t>
                  </w:r>
                  <w:r w:rsidRPr="00B22F2D">
                    <w:rPr>
                      <w:rFonts w:eastAsia="MS Mincho" w:cs="Arial" w:hint="eastAsia"/>
                      <w:lang w:val="en-US" w:eastAsia="ja-JP"/>
                    </w:rPr>
                    <w:t>120</w:t>
                  </w:r>
                  <w:r w:rsidRPr="00B22F2D">
                    <w:rPr>
                      <w:rFonts w:eastAsia="MS Mincho" w:cs="Arial"/>
                      <w:lang w:val="en-US" w:eastAsia="ja-JP"/>
                    </w:rPr>
                    <w:t>kHz SCS.</w:t>
                  </w:r>
                </w:p>
                <w:p w14:paraId="21FFCDF6" w14:textId="77777777" w:rsidR="00B22F2D" w:rsidRPr="00B22F2D" w:rsidRDefault="00B22F2D" w:rsidP="00B22F2D">
                  <w:pPr>
                    <w:pStyle w:val="TAN"/>
                    <w:rPr>
                      <w:rFonts w:eastAsia="MS Mincho" w:cs="Arial"/>
                      <w:lang w:val="en-US" w:eastAsia="ja-JP"/>
                    </w:rPr>
                  </w:pPr>
                  <w:r w:rsidRPr="00B22F2D">
                    <w:rPr>
                      <w:rFonts w:eastAsia="MS Mincho" w:cs="Arial" w:hint="eastAsia"/>
                      <w:lang w:val="en-US" w:eastAsia="ja-JP"/>
                    </w:rPr>
                    <w:t>N</w:t>
                  </w:r>
                  <w:r w:rsidRPr="00B22F2D">
                    <w:rPr>
                      <w:rFonts w:eastAsia="MS Mincho" w:cs="Arial"/>
                      <w:lang w:val="en-US" w:eastAsia="ja-JP"/>
                    </w:rPr>
                    <w:t>OTE</w:t>
                  </w:r>
                  <w:r w:rsidRPr="00B22F2D">
                    <w:rPr>
                      <w:rFonts w:eastAsia="MS Mincho" w:cs="Arial" w:hint="eastAsia"/>
                      <w:lang w:val="en-US" w:eastAsia="ja-JP"/>
                    </w:rPr>
                    <w:t xml:space="preserve"> 3</w:t>
                  </w:r>
                  <w:r w:rsidRPr="00B22F2D">
                    <w:rPr>
                      <w:rFonts w:eastAsia="MS Mincho" w:cs="Arial"/>
                      <w:lang w:val="en-US" w:eastAsia="ja-JP"/>
                    </w:rPr>
                    <w:t>:</w:t>
                  </w:r>
                  <w:r w:rsidRPr="00B22F2D">
                    <w:rPr>
                      <w:rFonts w:eastAsia="MS Mincho" w:cs="Arial"/>
                      <w:lang w:val="en-US" w:eastAsia="ja-JP"/>
                    </w:rPr>
                    <w:tab/>
                  </w:r>
                  <w:r w:rsidRPr="00B22F2D">
                    <w:rPr>
                      <w:rFonts w:eastAsia="MS Mincho" w:cs="Arial" w:hint="eastAsia"/>
                      <w:lang w:val="en-US" w:eastAsia="ja-JP"/>
                    </w:rPr>
                    <w:t>Maximum EIRP</w:t>
                  </w:r>
                  <w:r w:rsidRPr="00B22F2D">
                    <w:rPr>
                      <w:rFonts w:eastAsia="MS Mincho" w:cs="Arial"/>
                      <w:lang w:val="en-US" w:eastAsia="ja-JP"/>
                    </w:rPr>
                    <w:t xml:space="preserve"> is defined using </w:t>
                  </w:r>
                  <w:r w:rsidRPr="00B22F2D">
                    <w:rPr>
                      <w:rFonts w:eastAsia="MS Mincho" w:cs="Arial" w:hint="eastAsia"/>
                      <w:lang w:val="en-US" w:eastAsia="ja-JP"/>
                    </w:rPr>
                    <w:t>27</w:t>
                  </w:r>
                  <w:r w:rsidRPr="00B22F2D">
                    <w:rPr>
                      <w:rFonts w:eastAsia="MS Mincho" w:cs="Arial"/>
                      <w:lang w:val="en-US" w:eastAsia="ja-JP"/>
                    </w:rPr>
                    <w:t xml:space="preserve">RBs allocation with </w:t>
                  </w:r>
                  <w:r w:rsidRPr="00B22F2D">
                    <w:rPr>
                      <w:rFonts w:eastAsia="MS Mincho" w:cs="Arial" w:hint="eastAsia"/>
                      <w:lang w:val="en-US" w:eastAsia="ja-JP"/>
                    </w:rPr>
                    <w:t>30</w:t>
                  </w:r>
                  <w:r w:rsidRPr="00B22F2D">
                    <w:rPr>
                      <w:rFonts w:eastAsia="MS Mincho" w:cs="Arial"/>
                      <w:lang w:val="en-US" w:eastAsia="ja-JP"/>
                    </w:rPr>
                    <w:t>kHz SCS</w:t>
                  </w:r>
                  <w:r w:rsidRPr="00B22F2D">
                    <w:rPr>
                      <w:rFonts w:eastAsia="MS Mincho" w:cs="Arial" w:hint="eastAsia"/>
                      <w:lang w:val="en-US" w:eastAsia="ja-JP"/>
                    </w:rPr>
                    <w:t xml:space="preserve"> or using 54</w:t>
                  </w:r>
                  <w:r w:rsidRPr="00B22F2D">
                    <w:rPr>
                      <w:rFonts w:eastAsia="MS Mincho" w:cs="Arial"/>
                      <w:lang w:val="en-US" w:eastAsia="ja-JP"/>
                    </w:rPr>
                    <w:t xml:space="preserve">RBs allocation with </w:t>
                  </w:r>
                  <w:r w:rsidRPr="00B22F2D">
                    <w:rPr>
                      <w:rFonts w:eastAsia="MS Mincho" w:cs="Arial" w:hint="eastAsia"/>
                      <w:lang w:val="en-US" w:eastAsia="ja-JP"/>
                    </w:rPr>
                    <w:t>15</w:t>
                  </w:r>
                  <w:r w:rsidRPr="00B22F2D">
                    <w:rPr>
                      <w:rFonts w:eastAsia="MS Mincho" w:cs="Arial"/>
                      <w:lang w:val="en-US" w:eastAsia="ja-JP"/>
                    </w:rPr>
                    <w:t>kHz SCS.</w:t>
                  </w:r>
                </w:p>
                <w:p w14:paraId="6D8D0E43" w14:textId="77777777" w:rsidR="00B22F2D" w:rsidRPr="00006980" w:rsidRDefault="00B22F2D" w:rsidP="00B22F2D">
                  <w:pPr>
                    <w:pStyle w:val="TAN"/>
                    <w:rPr>
                      <w:rFonts w:eastAsia="MS Mincho" w:cs="Arial"/>
                      <w:lang w:val="fr-FR" w:eastAsia="ja-JP"/>
                    </w:rPr>
                  </w:pPr>
                  <w:r w:rsidRPr="00B22F2D">
                    <w:rPr>
                      <w:rFonts w:eastAsia="MS Mincho" w:cs="Arial" w:hint="eastAsia"/>
                      <w:lang w:val="en-US" w:eastAsia="ja-JP"/>
                    </w:rPr>
                    <w:t>N</w:t>
                  </w:r>
                  <w:r w:rsidRPr="00B22F2D">
                    <w:rPr>
                      <w:rFonts w:eastAsia="MS Mincho" w:cs="Arial"/>
                      <w:lang w:val="en-US" w:eastAsia="ja-JP"/>
                    </w:rPr>
                    <w:t>OTE</w:t>
                  </w:r>
                  <w:r w:rsidRPr="00B22F2D">
                    <w:rPr>
                      <w:rFonts w:eastAsia="MS Mincho" w:cs="Arial" w:hint="eastAsia"/>
                      <w:lang w:val="en-US" w:eastAsia="ja-JP"/>
                    </w:rPr>
                    <w:t xml:space="preserve"> 4</w:t>
                  </w:r>
                  <w:r w:rsidRPr="00B22F2D">
                    <w:rPr>
                      <w:rFonts w:eastAsia="MS Mincho" w:cs="Arial"/>
                      <w:lang w:val="en-US" w:eastAsia="ja-JP"/>
                    </w:rPr>
                    <w:t>:</w:t>
                  </w:r>
                  <w:r w:rsidRPr="00B22F2D">
                    <w:rPr>
                      <w:rFonts w:eastAsia="MS Mincho" w:cs="Arial"/>
                      <w:lang w:val="en-US" w:eastAsia="ja-JP"/>
                    </w:rPr>
                    <w:tab/>
                  </w:r>
                  <w:r w:rsidRPr="00B22F2D">
                    <w:rPr>
                      <w:rFonts w:eastAsia="MS Mincho" w:cs="Arial" w:hint="eastAsia"/>
                      <w:lang w:val="en-US" w:eastAsia="ja-JP"/>
                    </w:rPr>
                    <w:t>F</w:t>
                  </w:r>
                  <w:r w:rsidRPr="00B22F2D">
                    <w:rPr>
                      <w:rFonts w:eastAsia="MS Mincho" w:cs="Arial"/>
                      <w:lang w:val="en-US" w:eastAsia="ja-JP"/>
                    </w:rPr>
                    <w:t>or land ESIM operating in CEPT regions</w:t>
                  </w:r>
                  <w:r w:rsidRPr="00B22F2D">
                    <w:rPr>
                      <w:rFonts w:eastAsia="MS Mincho" w:cs="Arial" w:hint="eastAsia"/>
                      <w:lang w:val="en-US" w:eastAsia="ja-JP"/>
                    </w:rPr>
                    <w:t xml:space="preserve">, the upper limits of </w:t>
                  </w:r>
                  <w:r w:rsidRPr="00B22F2D">
                    <w:rPr>
                      <w:rFonts w:eastAsia="MS Mincho" w:cs="Arial"/>
                      <w:lang w:val="en-US" w:eastAsia="ja-JP"/>
                    </w:rPr>
                    <w:t>EIRP</w:t>
                  </w:r>
                  <w:r w:rsidRPr="00B22F2D">
                    <w:rPr>
                      <w:rFonts w:eastAsia="MS Mincho" w:cs="Arial"/>
                      <w:vertAlign w:val="subscript"/>
                      <w:lang w:val="en-US" w:eastAsia="ja-JP"/>
                    </w:rPr>
                    <w:t>max</w:t>
                  </w:r>
                  <w:r w:rsidRPr="00B22F2D">
                    <w:rPr>
                      <w:rFonts w:eastAsia="MS Mincho" w:cs="Arial"/>
                      <w:lang w:val="en-US" w:eastAsia="ja-JP"/>
                    </w:rPr>
                    <w:t xml:space="preserve"> </w:t>
                  </w:r>
                  <w:r w:rsidRPr="00B22F2D">
                    <w:rPr>
                      <w:rFonts w:eastAsia="MS Mincho" w:cs="Arial" w:hint="eastAsia"/>
                      <w:lang w:val="en-US" w:eastAsia="ja-JP"/>
                    </w:rPr>
                    <w:t>is 84.5 dBm.</w:t>
                  </w:r>
                </w:p>
              </w:tc>
            </w:tr>
          </w:tbl>
          <w:p w14:paraId="0B41068A" w14:textId="77777777" w:rsidR="00B22F2D" w:rsidRPr="00B22F2D" w:rsidRDefault="00B22F2D" w:rsidP="00CD40AF">
            <w:pPr>
              <w:jc w:val="left"/>
              <w:rPr>
                <w:rFonts w:eastAsiaTheme="minorEastAsia"/>
                <w:lang w:eastAsia="zh-CN"/>
              </w:rPr>
            </w:pPr>
          </w:p>
        </w:tc>
      </w:tr>
    </w:tbl>
    <w:p w14:paraId="175A44CB" w14:textId="77777777" w:rsidR="00B22F2D" w:rsidRDefault="00B22F2D" w:rsidP="00CD40AF">
      <w:pPr>
        <w:jc w:val="left"/>
        <w:rPr>
          <w:rFonts w:eastAsiaTheme="minorEastAsia"/>
          <w:lang w:eastAsia="zh-CN"/>
        </w:rPr>
      </w:pPr>
    </w:p>
    <w:p w14:paraId="165044AD" w14:textId="0D6EFA56" w:rsidR="00B22F2D" w:rsidRDefault="00C354F2" w:rsidP="00CD40AF">
      <w:pPr>
        <w:jc w:val="left"/>
        <w:rPr>
          <w:rFonts w:eastAsiaTheme="minorEastAsia"/>
          <w:lang w:eastAsia="zh-CN"/>
        </w:rPr>
      </w:pPr>
      <w:r>
        <w:rPr>
          <w:rFonts w:eastAsiaTheme="minorEastAsia" w:hint="eastAsia"/>
          <w:lang w:eastAsia="zh-CN"/>
        </w:rPr>
        <w:t>N</w:t>
      </w:r>
      <w:r>
        <w:rPr>
          <w:rFonts w:eastAsiaTheme="minorEastAsia"/>
          <w:lang w:eastAsia="zh-CN"/>
        </w:rPr>
        <w:t>ote that there are VSAT types with mechanical steering and VSAT types with electrical steering. It is an open issue whether to test beam steering [3]</w:t>
      </w:r>
    </w:p>
    <w:tbl>
      <w:tblPr>
        <w:tblStyle w:val="afd"/>
        <w:tblW w:w="0" w:type="auto"/>
        <w:tblLook w:val="04A0" w:firstRow="1" w:lastRow="0" w:firstColumn="1" w:lastColumn="0" w:noHBand="0" w:noVBand="1"/>
      </w:tblPr>
      <w:tblGrid>
        <w:gridCol w:w="9631"/>
      </w:tblGrid>
      <w:tr w:rsidR="00C354F2" w14:paraId="3BC83766" w14:textId="77777777" w:rsidTr="00C354F2">
        <w:tc>
          <w:tcPr>
            <w:tcW w:w="9631" w:type="dxa"/>
          </w:tcPr>
          <w:p w14:paraId="7B5ADFED" w14:textId="77777777" w:rsidR="00C354F2" w:rsidRPr="00E02E3E" w:rsidRDefault="00C354F2" w:rsidP="00C354F2">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2-10: Beamlock</w:t>
            </w:r>
          </w:p>
          <w:p w14:paraId="7824EDEB" w14:textId="6CC60916" w:rsidR="00C354F2" w:rsidRPr="00C354F2" w:rsidRDefault="00C354F2" w:rsidP="00C354F2">
            <w:pPr>
              <w:keepNext/>
              <w:spacing w:after="120"/>
              <w:rPr>
                <w:rFonts w:eastAsiaTheme="minorEastAsia"/>
                <w:lang w:eastAsia="zh-CN"/>
              </w:rPr>
            </w:pPr>
            <w:r w:rsidRPr="00E02E3E">
              <w:rPr>
                <w:rFonts w:ascii="Arial" w:hAnsi="Arial" w:cs="Arial"/>
                <w:bCs/>
                <w:highlight w:val="green"/>
                <w:lang w:eastAsia="zh-CN"/>
              </w:rPr>
              <w:t xml:space="preserve">RAN4 further check whether </w:t>
            </w:r>
            <w:r w:rsidRPr="00E02E3E">
              <w:rPr>
                <w:rFonts w:ascii="Arial" w:hAnsi="Arial" w:cs="Arial"/>
                <w:bCs/>
                <w:highlight w:val="green"/>
              </w:rPr>
              <w:t>beam steering</w:t>
            </w:r>
            <w:r w:rsidRPr="00E02E3E">
              <w:rPr>
                <w:rFonts w:ascii="Arial" w:hAnsi="Arial" w:cs="Arial"/>
                <w:bCs/>
                <w:highlight w:val="green"/>
                <w:lang w:eastAsia="zh-CN"/>
              </w:rPr>
              <w:t xml:space="preserve"> is needed for VSAT conformance testing.</w:t>
            </w:r>
            <w:r w:rsidRPr="00E02E3E">
              <w:rPr>
                <w:rFonts w:ascii="Arial" w:hAnsi="Arial" w:cs="Arial"/>
                <w:bCs/>
                <w:lang w:eastAsia="zh-CN"/>
              </w:rPr>
              <w:t xml:space="preserve"> </w:t>
            </w:r>
          </w:p>
        </w:tc>
      </w:tr>
    </w:tbl>
    <w:p w14:paraId="758662B9" w14:textId="77777777" w:rsidR="00C354F2" w:rsidRDefault="00C354F2" w:rsidP="00CD40AF">
      <w:pPr>
        <w:jc w:val="left"/>
        <w:rPr>
          <w:rFonts w:eastAsiaTheme="minorEastAsia"/>
          <w:lang w:eastAsia="zh-CN"/>
        </w:rPr>
      </w:pPr>
    </w:p>
    <w:p w14:paraId="3776C1B0" w14:textId="076CC3A2" w:rsidR="00B22F2D" w:rsidRDefault="00C354F2" w:rsidP="00CD40AF">
      <w:pPr>
        <w:jc w:val="left"/>
        <w:rPr>
          <w:rFonts w:eastAsiaTheme="minorEastAsia"/>
          <w:lang w:eastAsia="zh-CN"/>
        </w:rPr>
      </w:pPr>
      <w:r>
        <w:rPr>
          <w:rFonts w:eastAsiaTheme="minorEastAsia" w:hint="eastAsia"/>
          <w:lang w:eastAsia="zh-CN"/>
        </w:rPr>
        <w:t>F</w:t>
      </w:r>
      <w:r>
        <w:rPr>
          <w:rFonts w:eastAsiaTheme="minorEastAsia"/>
          <w:lang w:eastAsia="zh-CN"/>
        </w:rPr>
        <w:t xml:space="preserve">or VSAT types with mechanical steering, it is noticed that the single probe test system can not perform 3D minimum peak EIRP testing with beam steering because the boresight of the VSAT will be constantly pointed to the unique probe. However, on the other hand, the minimum peak EIRP testing </w:t>
      </w:r>
      <w:r w:rsidR="00344DEF">
        <w:rPr>
          <w:rFonts w:eastAsiaTheme="minorEastAsia"/>
          <w:lang w:eastAsia="zh-CN"/>
        </w:rPr>
        <w:t>at</w:t>
      </w:r>
      <w:r>
        <w:rPr>
          <w:rFonts w:eastAsiaTheme="minorEastAsia"/>
          <w:lang w:eastAsia="zh-CN"/>
        </w:rPr>
        <w:t xml:space="preserve"> single direction</w:t>
      </w:r>
      <w:r w:rsidR="00344DEF">
        <w:rPr>
          <w:rFonts w:eastAsiaTheme="minorEastAsia"/>
          <w:lang w:eastAsia="zh-CN"/>
        </w:rPr>
        <w:t xml:space="preserve"> (boresight direction)</w:t>
      </w:r>
      <w:r>
        <w:rPr>
          <w:rFonts w:eastAsiaTheme="minorEastAsia"/>
          <w:lang w:eastAsia="zh-CN"/>
        </w:rPr>
        <w:t xml:space="preserve"> may be enough for mechanical steering case.</w:t>
      </w:r>
    </w:p>
    <w:p w14:paraId="479F2844" w14:textId="5674D3AB" w:rsidR="00C354F2" w:rsidRPr="00C354F2" w:rsidRDefault="00C354F2" w:rsidP="00C354F2">
      <w:pPr>
        <w:spacing w:after="120"/>
        <w:ind w:left="1418" w:hanging="1418"/>
        <w:rPr>
          <w:b/>
          <w:bCs/>
        </w:rPr>
      </w:pPr>
      <w:r>
        <w:rPr>
          <w:b/>
          <w:bCs/>
        </w:rPr>
        <w:t>Observation 4</w:t>
      </w:r>
      <w:r w:rsidRPr="00DF1B01">
        <w:rPr>
          <w:b/>
          <w:bCs/>
        </w:rPr>
        <w:t>:</w:t>
      </w:r>
      <w:r w:rsidRPr="00DF1B01">
        <w:rPr>
          <w:b/>
          <w:bCs/>
        </w:rPr>
        <w:tab/>
      </w:r>
      <w:r>
        <w:rPr>
          <w:rFonts w:hint="eastAsia"/>
          <w:b/>
          <w:bCs/>
          <w:lang w:eastAsia="zh-CN"/>
        </w:rPr>
        <w:t>F</w:t>
      </w:r>
      <w:r>
        <w:rPr>
          <w:b/>
          <w:bCs/>
          <w:lang w:eastAsia="zh-CN"/>
        </w:rPr>
        <w:t xml:space="preserve">or </w:t>
      </w:r>
      <w:r>
        <w:rPr>
          <w:rFonts w:hint="eastAsia"/>
          <w:b/>
          <w:bCs/>
          <w:lang w:eastAsia="zh-CN"/>
        </w:rPr>
        <w:t>mechanical</w:t>
      </w:r>
      <w:r>
        <w:rPr>
          <w:b/>
          <w:bCs/>
          <w:lang w:eastAsia="zh-CN"/>
        </w:rPr>
        <w:t xml:space="preserve"> steering VSAT, </w:t>
      </w:r>
      <w:r w:rsidRPr="00C354F2">
        <w:rPr>
          <w:b/>
          <w:bCs/>
          <w:lang w:eastAsia="zh-CN"/>
        </w:rPr>
        <w:t>the single probe test system can not perform 3D minimum peak EIRP testing with beam steering because the boresight of the VSAT will be constantly pointed to the unique probe</w:t>
      </w:r>
      <w:r w:rsidRPr="00B22F2D">
        <w:rPr>
          <w:b/>
          <w:bCs/>
          <w:lang w:eastAsia="zh-CN"/>
        </w:rPr>
        <w:t>.</w:t>
      </w:r>
    </w:p>
    <w:p w14:paraId="051BFEB8" w14:textId="4552490B" w:rsidR="00344DEF" w:rsidRPr="00C354F2" w:rsidRDefault="00344DEF" w:rsidP="00344DEF">
      <w:pPr>
        <w:spacing w:after="120"/>
        <w:ind w:left="1418" w:hanging="1418"/>
        <w:rPr>
          <w:b/>
          <w:bCs/>
        </w:rPr>
      </w:pPr>
      <w:r>
        <w:rPr>
          <w:b/>
          <w:bCs/>
        </w:rPr>
        <w:t>Observation 5</w:t>
      </w:r>
      <w:r w:rsidRPr="00DF1B01">
        <w:rPr>
          <w:b/>
          <w:bCs/>
        </w:rPr>
        <w:t>:</w:t>
      </w:r>
      <w:r w:rsidRPr="00DF1B01">
        <w:rPr>
          <w:b/>
          <w:bCs/>
        </w:rPr>
        <w:tab/>
      </w:r>
      <w:r>
        <w:rPr>
          <w:rFonts w:hint="eastAsia"/>
          <w:b/>
          <w:bCs/>
          <w:lang w:eastAsia="zh-CN"/>
        </w:rPr>
        <w:t>F</w:t>
      </w:r>
      <w:r>
        <w:rPr>
          <w:b/>
          <w:bCs/>
          <w:lang w:eastAsia="zh-CN"/>
        </w:rPr>
        <w:t xml:space="preserve">or </w:t>
      </w:r>
      <w:r>
        <w:rPr>
          <w:rFonts w:hint="eastAsia"/>
          <w:b/>
          <w:bCs/>
          <w:lang w:eastAsia="zh-CN"/>
        </w:rPr>
        <w:t>mechanical</w:t>
      </w:r>
      <w:r>
        <w:rPr>
          <w:b/>
          <w:bCs/>
          <w:lang w:eastAsia="zh-CN"/>
        </w:rPr>
        <w:t xml:space="preserve"> steering VSAT, </w:t>
      </w:r>
      <w:r w:rsidRPr="00344DEF">
        <w:rPr>
          <w:b/>
          <w:bCs/>
          <w:lang w:eastAsia="zh-CN"/>
        </w:rPr>
        <w:t xml:space="preserve">the minimum peak EIRP testing </w:t>
      </w:r>
      <w:r>
        <w:rPr>
          <w:b/>
          <w:bCs/>
          <w:lang w:eastAsia="zh-CN"/>
        </w:rPr>
        <w:t>at</w:t>
      </w:r>
      <w:r w:rsidRPr="00344DEF">
        <w:rPr>
          <w:b/>
          <w:bCs/>
          <w:lang w:eastAsia="zh-CN"/>
        </w:rPr>
        <w:t xml:space="preserve"> single direction (boresight direction) may be enough</w:t>
      </w:r>
      <w:r w:rsidRPr="00B22F2D">
        <w:rPr>
          <w:b/>
          <w:bCs/>
          <w:lang w:eastAsia="zh-CN"/>
        </w:rPr>
        <w:t>.</w:t>
      </w:r>
    </w:p>
    <w:p w14:paraId="39AB494E" w14:textId="141F6846" w:rsidR="00C354F2" w:rsidRDefault="001D63B1" w:rsidP="00CD40AF">
      <w:pPr>
        <w:jc w:val="left"/>
        <w:rPr>
          <w:rFonts w:eastAsiaTheme="minorEastAsia"/>
          <w:lang w:eastAsia="zh-CN"/>
        </w:rPr>
      </w:pPr>
      <w:r>
        <w:rPr>
          <w:rFonts w:eastAsiaTheme="minorEastAsia" w:hint="eastAsia"/>
          <w:lang w:eastAsia="zh-CN"/>
        </w:rPr>
        <w:t>F</w:t>
      </w:r>
      <w:r>
        <w:rPr>
          <w:rFonts w:eastAsiaTheme="minorEastAsia"/>
          <w:lang w:eastAsia="zh-CN"/>
        </w:rPr>
        <w:t>or VSAT types with electrical steering, or for VSAT types with hybrid mechanical and electrical steering (no matter it is declared as mechanical steering VSAT type or electrical steering VSAT type), beam steering is needed in the 3D minimum peak EIRP testing.</w:t>
      </w:r>
    </w:p>
    <w:p w14:paraId="0A017C4C" w14:textId="73B071D8" w:rsidR="001D63B1" w:rsidRPr="00587BB2" w:rsidRDefault="001D63B1" w:rsidP="001D63B1">
      <w:pPr>
        <w:spacing w:after="120"/>
        <w:ind w:left="1418" w:hanging="1418"/>
        <w:rPr>
          <w:b/>
          <w:bCs/>
          <w:lang w:eastAsia="zh-CN"/>
        </w:rPr>
      </w:pPr>
      <w:r>
        <w:rPr>
          <w:b/>
          <w:bCs/>
        </w:rPr>
        <w:t>Proposal 5</w:t>
      </w:r>
      <w:r w:rsidRPr="00DF1B01">
        <w:rPr>
          <w:b/>
          <w:bCs/>
        </w:rPr>
        <w:t>:</w:t>
      </w:r>
      <w:r w:rsidRPr="00DF1B01">
        <w:rPr>
          <w:b/>
          <w:bCs/>
        </w:rPr>
        <w:tab/>
      </w:r>
      <w:r w:rsidRPr="001D63B1">
        <w:rPr>
          <w:b/>
          <w:bCs/>
        </w:rPr>
        <w:t>For VSAT types with electrical steering, or for VSAT types with hybrid mechanical and electrical steering (no matter it is declared as mechanical steering VSAT type or electrical steering VSAT type), beam steering is needed in the 3D minimum peak EIRP testing.</w:t>
      </w:r>
    </w:p>
    <w:p w14:paraId="13F003B3" w14:textId="6147FCA9" w:rsidR="001D63B1" w:rsidRDefault="001D63B1" w:rsidP="00CD40AF">
      <w:pPr>
        <w:jc w:val="left"/>
        <w:rPr>
          <w:rFonts w:eastAsiaTheme="minorEastAsia"/>
          <w:lang w:eastAsia="zh-CN"/>
        </w:rPr>
      </w:pPr>
      <w:r>
        <w:rPr>
          <w:rFonts w:eastAsiaTheme="minorEastAsia" w:hint="eastAsia"/>
          <w:lang w:eastAsia="zh-CN"/>
        </w:rPr>
        <w:t>F</w:t>
      </w:r>
      <w:r>
        <w:rPr>
          <w:rFonts w:eastAsiaTheme="minorEastAsia"/>
          <w:lang w:eastAsia="zh-CN"/>
        </w:rPr>
        <w:t>or VSAT types with hybrid steering, the detailed testing spherical range can be further discussed.</w:t>
      </w:r>
    </w:p>
    <w:p w14:paraId="21B4CA8B" w14:textId="4DCC0177" w:rsidR="001D63B1" w:rsidRDefault="001D63B1" w:rsidP="00CD40AF">
      <w:pPr>
        <w:jc w:val="left"/>
        <w:rPr>
          <w:rFonts w:eastAsiaTheme="minorEastAsia"/>
          <w:lang w:eastAsia="zh-CN"/>
        </w:rPr>
      </w:pPr>
      <w:r>
        <w:rPr>
          <w:rFonts w:eastAsiaTheme="minorEastAsia" w:hint="eastAsia"/>
          <w:lang w:eastAsia="zh-CN"/>
        </w:rPr>
        <w:t>R</w:t>
      </w:r>
      <w:r>
        <w:rPr>
          <w:rFonts w:eastAsiaTheme="minorEastAsia"/>
          <w:lang w:eastAsia="zh-CN"/>
        </w:rPr>
        <w:t>egarding beam lock, the principle of FR2 testing can be reused.</w:t>
      </w:r>
    </w:p>
    <w:p w14:paraId="49C71DC3" w14:textId="0F9EB867" w:rsidR="001D63B1" w:rsidRPr="00587BB2" w:rsidRDefault="001D63B1" w:rsidP="001D63B1">
      <w:pPr>
        <w:spacing w:after="120"/>
        <w:ind w:left="1418" w:hanging="1418"/>
        <w:rPr>
          <w:b/>
          <w:bCs/>
          <w:lang w:eastAsia="zh-CN"/>
        </w:rPr>
      </w:pPr>
      <w:r>
        <w:rPr>
          <w:b/>
          <w:bCs/>
        </w:rPr>
        <w:t>Proposal 6</w:t>
      </w:r>
      <w:r w:rsidRPr="00DF1B01">
        <w:rPr>
          <w:b/>
          <w:bCs/>
        </w:rPr>
        <w:t>:</w:t>
      </w:r>
      <w:r w:rsidRPr="00DF1B01">
        <w:rPr>
          <w:b/>
          <w:bCs/>
        </w:rPr>
        <w:tab/>
      </w:r>
      <w:r>
        <w:rPr>
          <w:b/>
          <w:bCs/>
        </w:rPr>
        <w:t>Adopt beam lock according to the same principle as FR2 testing</w:t>
      </w:r>
      <w:r w:rsidRPr="001D63B1">
        <w:rPr>
          <w:b/>
          <w:bCs/>
        </w:rPr>
        <w:t>.</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404F071B" w14:textId="77777777" w:rsidR="00E63B2E" w:rsidRPr="00EC38D3" w:rsidRDefault="00E63B2E" w:rsidP="00E63B2E">
      <w:pPr>
        <w:spacing w:after="120"/>
        <w:ind w:left="1418" w:hanging="1418"/>
        <w:rPr>
          <w:rFonts w:eastAsiaTheme="minorEastAsia"/>
          <w:lang w:eastAsia="zh-CN"/>
        </w:rPr>
      </w:pPr>
      <w:r>
        <w:rPr>
          <w:b/>
          <w:bCs/>
        </w:rPr>
        <w:t>Observation 1</w:t>
      </w:r>
      <w:r w:rsidRPr="00DF1B01">
        <w:rPr>
          <w:b/>
          <w:bCs/>
        </w:rPr>
        <w:t>:</w:t>
      </w:r>
      <w:r w:rsidRPr="00DF1B01">
        <w:rPr>
          <w:b/>
          <w:bCs/>
        </w:rPr>
        <w:tab/>
      </w:r>
      <w:r w:rsidRPr="00EC38D3">
        <w:rPr>
          <w:b/>
          <w:bCs/>
          <w:lang w:eastAsia="zh-CN"/>
        </w:rPr>
        <w:t xml:space="preserve">Support of circular polarization need to address the testability issue and requirement ambiguity firstly. </w:t>
      </w:r>
    </w:p>
    <w:p w14:paraId="32D06017" w14:textId="77777777" w:rsidR="00E63B2E" w:rsidRDefault="00E63B2E" w:rsidP="00E63B2E">
      <w:pPr>
        <w:spacing w:after="120"/>
        <w:ind w:left="1418" w:hanging="1418"/>
        <w:rPr>
          <w:b/>
          <w:bCs/>
          <w:lang w:eastAsia="zh-CN"/>
        </w:rPr>
      </w:pPr>
      <w:r>
        <w:rPr>
          <w:b/>
          <w:bCs/>
        </w:rPr>
        <w:t>Proposal 1</w:t>
      </w:r>
      <w:r w:rsidRPr="00DF1B01">
        <w:rPr>
          <w:b/>
          <w:bCs/>
        </w:rPr>
        <w:t>:</w:t>
      </w:r>
      <w:r w:rsidRPr="00DF1B01">
        <w:rPr>
          <w:b/>
          <w:bCs/>
        </w:rPr>
        <w:tab/>
      </w:r>
      <w:r w:rsidRPr="00EC38D3">
        <w:rPr>
          <w:b/>
          <w:bCs/>
          <w:lang w:eastAsia="zh-CN"/>
        </w:rPr>
        <w:t>NTN test system for VSAT at Ku and Ka bands should at least support linear polarization</w:t>
      </w:r>
      <w:r w:rsidRPr="006B36F3">
        <w:rPr>
          <w:b/>
          <w:bCs/>
          <w:lang w:eastAsia="zh-CN"/>
        </w:rPr>
        <w:t>.</w:t>
      </w:r>
    </w:p>
    <w:p w14:paraId="7F031E8E" w14:textId="77777777" w:rsidR="00E63B2E" w:rsidRDefault="00E63B2E" w:rsidP="00E63B2E">
      <w:pPr>
        <w:spacing w:after="120"/>
        <w:ind w:left="1418" w:hanging="1418"/>
        <w:rPr>
          <w:b/>
          <w:bCs/>
          <w:lang w:eastAsia="zh-CN"/>
        </w:rPr>
      </w:pPr>
      <w:r>
        <w:rPr>
          <w:b/>
          <w:bCs/>
        </w:rPr>
        <w:t>Proposal 2</w:t>
      </w:r>
      <w:r w:rsidRPr="00DF1B01">
        <w:rPr>
          <w:b/>
          <w:bCs/>
        </w:rPr>
        <w:t>:</w:t>
      </w:r>
      <w:r w:rsidRPr="00DF1B01">
        <w:rPr>
          <w:b/>
          <w:bCs/>
        </w:rPr>
        <w:tab/>
      </w:r>
      <w:r w:rsidRPr="00EC38D3">
        <w:rPr>
          <w:b/>
          <w:bCs/>
          <w:lang w:eastAsia="zh-CN"/>
        </w:rPr>
        <w:t>RAN4 should avoid separate test system for different polarization</w:t>
      </w:r>
      <w:r>
        <w:rPr>
          <w:b/>
          <w:bCs/>
          <w:lang w:eastAsia="zh-CN"/>
        </w:rPr>
        <w:t>s</w:t>
      </w:r>
      <w:r w:rsidRPr="006B36F3">
        <w:rPr>
          <w:b/>
          <w:bCs/>
          <w:lang w:eastAsia="zh-CN"/>
        </w:rPr>
        <w:t>.</w:t>
      </w:r>
    </w:p>
    <w:p w14:paraId="38B923AD" w14:textId="77777777" w:rsidR="00E63B2E" w:rsidRDefault="00E63B2E" w:rsidP="00E63B2E">
      <w:pPr>
        <w:spacing w:after="120"/>
        <w:ind w:left="1418" w:hanging="1418"/>
        <w:rPr>
          <w:lang w:eastAsia="zh-CN"/>
        </w:rPr>
      </w:pPr>
      <w:r>
        <w:rPr>
          <w:b/>
          <w:bCs/>
        </w:rPr>
        <w:t>Observation 2</w:t>
      </w:r>
      <w:r w:rsidRPr="00DF1B01">
        <w:rPr>
          <w:b/>
          <w:bCs/>
        </w:rPr>
        <w:t>:</w:t>
      </w:r>
      <w:r w:rsidRPr="00DF1B01">
        <w:rPr>
          <w:b/>
          <w:bCs/>
        </w:rPr>
        <w:tab/>
      </w:r>
      <w:r>
        <w:rPr>
          <w:b/>
          <w:bCs/>
          <w:lang w:eastAsia="zh-CN"/>
        </w:rPr>
        <w:t>large radiating aperture diameter and large QZ size for NTN VSAT testing makes the black-box approach becoming in feasible</w:t>
      </w:r>
      <w:r w:rsidRPr="00691D8D">
        <w:rPr>
          <w:b/>
          <w:bCs/>
          <w:lang w:eastAsia="zh-CN"/>
        </w:rPr>
        <w:t>.</w:t>
      </w:r>
    </w:p>
    <w:p w14:paraId="0B0EC611" w14:textId="77777777" w:rsidR="00E63B2E" w:rsidRPr="00587BB2" w:rsidRDefault="00E63B2E" w:rsidP="00E63B2E">
      <w:pPr>
        <w:spacing w:after="120"/>
        <w:ind w:left="1418" w:hanging="1418"/>
        <w:rPr>
          <w:b/>
          <w:bCs/>
          <w:lang w:eastAsia="zh-CN"/>
        </w:rPr>
      </w:pPr>
      <w:r>
        <w:rPr>
          <w:b/>
          <w:bCs/>
        </w:rPr>
        <w:t>Proposal 3</w:t>
      </w:r>
      <w:r w:rsidRPr="00DF1B01">
        <w:rPr>
          <w:b/>
          <w:bCs/>
        </w:rPr>
        <w:t>:</w:t>
      </w:r>
      <w:r w:rsidRPr="00DF1B01">
        <w:rPr>
          <w:b/>
          <w:bCs/>
        </w:rPr>
        <w:tab/>
      </w:r>
      <w:r w:rsidRPr="00B15131">
        <w:rPr>
          <w:rFonts w:eastAsiaTheme="minorEastAsia"/>
          <w:b/>
          <w:bCs/>
          <w:lang w:eastAsia="zh-CN"/>
        </w:rPr>
        <w:t>it is proposed to adopt white-box approach</w:t>
      </w:r>
      <w:r>
        <w:rPr>
          <w:rFonts w:eastAsiaTheme="minorEastAsia"/>
          <w:b/>
          <w:bCs/>
          <w:lang w:eastAsia="zh-CN"/>
        </w:rPr>
        <w:t xml:space="preserve"> for NTN VSAT testing at Ku and Ka bands</w:t>
      </w:r>
      <w:r w:rsidRPr="003D15EA">
        <w:rPr>
          <w:rFonts w:eastAsiaTheme="minorEastAsia"/>
          <w:b/>
          <w:bCs/>
          <w:lang w:eastAsia="zh-CN"/>
        </w:rPr>
        <w:t>.</w:t>
      </w:r>
    </w:p>
    <w:p w14:paraId="22EC0F68" w14:textId="77777777" w:rsidR="00E63B2E" w:rsidRDefault="00E63B2E" w:rsidP="00E63B2E">
      <w:pPr>
        <w:spacing w:after="120"/>
        <w:ind w:left="1418" w:hanging="1418"/>
        <w:rPr>
          <w:lang w:eastAsia="zh-CN"/>
        </w:rPr>
      </w:pPr>
      <w:r>
        <w:rPr>
          <w:b/>
          <w:bCs/>
        </w:rPr>
        <w:lastRenderedPageBreak/>
        <w:t>Observation 3</w:t>
      </w:r>
      <w:r w:rsidRPr="00DF1B01">
        <w:rPr>
          <w:b/>
          <w:bCs/>
        </w:rPr>
        <w:t>:</w:t>
      </w:r>
      <w:r w:rsidRPr="00DF1B01">
        <w:rPr>
          <w:b/>
          <w:bCs/>
        </w:rPr>
        <w:tab/>
      </w:r>
      <w:r>
        <w:rPr>
          <w:b/>
          <w:bCs/>
          <w:lang w:eastAsia="zh-CN"/>
        </w:rPr>
        <w:t xml:space="preserve">If comparing FR2 TN mmWave MOP requirements, </w:t>
      </w:r>
      <w:r w:rsidRPr="00B22F2D">
        <w:rPr>
          <w:b/>
          <w:bCs/>
          <w:lang w:eastAsia="zh-CN"/>
        </w:rPr>
        <w:t xml:space="preserve">VSAT NTN only has </w:t>
      </w:r>
      <w:r>
        <w:rPr>
          <w:b/>
          <w:bCs/>
          <w:lang w:eastAsia="zh-CN"/>
        </w:rPr>
        <w:t>‘</w:t>
      </w:r>
      <w:r w:rsidRPr="00B22F2D">
        <w:rPr>
          <w:b/>
          <w:bCs/>
          <w:lang w:eastAsia="zh-CN"/>
        </w:rPr>
        <w:t>spherical coverage</w:t>
      </w:r>
      <w:r>
        <w:rPr>
          <w:b/>
          <w:bCs/>
          <w:lang w:eastAsia="zh-CN"/>
        </w:rPr>
        <w:t>’</w:t>
      </w:r>
      <w:r w:rsidRPr="00B22F2D">
        <w:rPr>
          <w:b/>
          <w:bCs/>
          <w:lang w:eastAsia="zh-CN"/>
        </w:rPr>
        <w:t xml:space="preserve"> requirements, and there is no requirement for a single peak direction.</w:t>
      </w:r>
    </w:p>
    <w:p w14:paraId="22997A92" w14:textId="59A49E58" w:rsidR="00E63B2E" w:rsidRDefault="00E63B2E" w:rsidP="00E63B2E">
      <w:pPr>
        <w:spacing w:after="120"/>
        <w:ind w:left="1418" w:hanging="1418"/>
        <w:rPr>
          <w:rFonts w:eastAsiaTheme="minorEastAsia"/>
          <w:lang w:eastAsia="zh-CN"/>
        </w:rPr>
      </w:pPr>
      <w:r>
        <w:rPr>
          <w:b/>
          <w:bCs/>
        </w:rPr>
        <w:t>Proposal 4</w:t>
      </w:r>
      <w:r w:rsidRPr="00DF1B01">
        <w:rPr>
          <w:b/>
          <w:bCs/>
        </w:rPr>
        <w:t>:</w:t>
      </w:r>
      <w:r w:rsidRPr="00DF1B01">
        <w:rPr>
          <w:b/>
          <w:bCs/>
        </w:rPr>
        <w:tab/>
      </w:r>
      <w:r>
        <w:rPr>
          <w:b/>
          <w:bCs/>
        </w:rPr>
        <w:t>B</w:t>
      </w:r>
      <w:r w:rsidRPr="001D63B1">
        <w:rPr>
          <w:rFonts w:eastAsiaTheme="minorEastAsia"/>
          <w:b/>
          <w:bCs/>
          <w:lang w:eastAsia="zh-CN"/>
        </w:rPr>
        <w:t xml:space="preserve">eam peak search is not needed, and thus also no need to specify a dedicated measurement grid </w:t>
      </w:r>
    </w:p>
    <w:p w14:paraId="750003E3" w14:textId="77777777" w:rsidR="00E63B2E" w:rsidRPr="00C354F2" w:rsidRDefault="00E63B2E" w:rsidP="00E63B2E">
      <w:pPr>
        <w:spacing w:after="120"/>
        <w:ind w:left="1418" w:hanging="1418"/>
        <w:rPr>
          <w:b/>
          <w:bCs/>
        </w:rPr>
      </w:pPr>
      <w:r>
        <w:rPr>
          <w:b/>
          <w:bCs/>
        </w:rPr>
        <w:t>Observation 4</w:t>
      </w:r>
      <w:r w:rsidRPr="00DF1B01">
        <w:rPr>
          <w:b/>
          <w:bCs/>
        </w:rPr>
        <w:t>:</w:t>
      </w:r>
      <w:r w:rsidRPr="00DF1B01">
        <w:rPr>
          <w:b/>
          <w:bCs/>
        </w:rPr>
        <w:tab/>
      </w:r>
      <w:r>
        <w:rPr>
          <w:rFonts w:hint="eastAsia"/>
          <w:b/>
          <w:bCs/>
          <w:lang w:eastAsia="zh-CN"/>
        </w:rPr>
        <w:t>F</w:t>
      </w:r>
      <w:r>
        <w:rPr>
          <w:b/>
          <w:bCs/>
          <w:lang w:eastAsia="zh-CN"/>
        </w:rPr>
        <w:t xml:space="preserve">or </w:t>
      </w:r>
      <w:r>
        <w:rPr>
          <w:rFonts w:hint="eastAsia"/>
          <w:b/>
          <w:bCs/>
          <w:lang w:eastAsia="zh-CN"/>
        </w:rPr>
        <w:t>mechanical</w:t>
      </w:r>
      <w:r>
        <w:rPr>
          <w:b/>
          <w:bCs/>
          <w:lang w:eastAsia="zh-CN"/>
        </w:rPr>
        <w:t xml:space="preserve"> steering VSAT, </w:t>
      </w:r>
      <w:r w:rsidRPr="00C354F2">
        <w:rPr>
          <w:b/>
          <w:bCs/>
          <w:lang w:eastAsia="zh-CN"/>
        </w:rPr>
        <w:t>the single probe test system can not perform 3D minimum peak EIRP testing with beam steering because the boresight of the VSAT will be constantly pointed to the unique probe</w:t>
      </w:r>
      <w:r w:rsidRPr="00B22F2D">
        <w:rPr>
          <w:b/>
          <w:bCs/>
          <w:lang w:eastAsia="zh-CN"/>
        </w:rPr>
        <w:t>.</w:t>
      </w:r>
    </w:p>
    <w:p w14:paraId="1CA20BEF" w14:textId="77777777" w:rsidR="00E63B2E" w:rsidRPr="00C354F2" w:rsidRDefault="00E63B2E" w:rsidP="00E63B2E">
      <w:pPr>
        <w:spacing w:after="120"/>
        <w:ind w:left="1418" w:hanging="1418"/>
        <w:rPr>
          <w:b/>
          <w:bCs/>
        </w:rPr>
      </w:pPr>
      <w:r>
        <w:rPr>
          <w:b/>
          <w:bCs/>
        </w:rPr>
        <w:t>Observation 5</w:t>
      </w:r>
      <w:r w:rsidRPr="00DF1B01">
        <w:rPr>
          <w:b/>
          <w:bCs/>
        </w:rPr>
        <w:t>:</w:t>
      </w:r>
      <w:r w:rsidRPr="00DF1B01">
        <w:rPr>
          <w:b/>
          <w:bCs/>
        </w:rPr>
        <w:tab/>
      </w:r>
      <w:r>
        <w:rPr>
          <w:rFonts w:hint="eastAsia"/>
          <w:b/>
          <w:bCs/>
          <w:lang w:eastAsia="zh-CN"/>
        </w:rPr>
        <w:t>F</w:t>
      </w:r>
      <w:r>
        <w:rPr>
          <w:b/>
          <w:bCs/>
          <w:lang w:eastAsia="zh-CN"/>
        </w:rPr>
        <w:t xml:space="preserve">or </w:t>
      </w:r>
      <w:r>
        <w:rPr>
          <w:rFonts w:hint="eastAsia"/>
          <w:b/>
          <w:bCs/>
          <w:lang w:eastAsia="zh-CN"/>
        </w:rPr>
        <w:t>mechanical</w:t>
      </w:r>
      <w:r>
        <w:rPr>
          <w:b/>
          <w:bCs/>
          <w:lang w:eastAsia="zh-CN"/>
        </w:rPr>
        <w:t xml:space="preserve"> steering VSAT, </w:t>
      </w:r>
      <w:r w:rsidRPr="00344DEF">
        <w:rPr>
          <w:b/>
          <w:bCs/>
          <w:lang w:eastAsia="zh-CN"/>
        </w:rPr>
        <w:t xml:space="preserve">the minimum peak EIRP testing </w:t>
      </w:r>
      <w:r>
        <w:rPr>
          <w:b/>
          <w:bCs/>
          <w:lang w:eastAsia="zh-CN"/>
        </w:rPr>
        <w:t>at</w:t>
      </w:r>
      <w:r w:rsidRPr="00344DEF">
        <w:rPr>
          <w:b/>
          <w:bCs/>
          <w:lang w:eastAsia="zh-CN"/>
        </w:rPr>
        <w:t xml:space="preserve"> single direction (boresight direction) may be enough</w:t>
      </w:r>
      <w:r w:rsidRPr="00B22F2D">
        <w:rPr>
          <w:b/>
          <w:bCs/>
          <w:lang w:eastAsia="zh-CN"/>
        </w:rPr>
        <w:t>.</w:t>
      </w:r>
    </w:p>
    <w:p w14:paraId="055E87F9" w14:textId="77777777" w:rsidR="00E63B2E" w:rsidRPr="00587BB2" w:rsidRDefault="00E63B2E" w:rsidP="00E63B2E">
      <w:pPr>
        <w:spacing w:after="120"/>
        <w:ind w:left="1418" w:hanging="1418"/>
        <w:rPr>
          <w:b/>
          <w:bCs/>
          <w:lang w:eastAsia="zh-CN"/>
        </w:rPr>
      </w:pPr>
      <w:r>
        <w:rPr>
          <w:b/>
          <w:bCs/>
        </w:rPr>
        <w:t>Proposal 5</w:t>
      </w:r>
      <w:r w:rsidRPr="00DF1B01">
        <w:rPr>
          <w:b/>
          <w:bCs/>
        </w:rPr>
        <w:t>:</w:t>
      </w:r>
      <w:r w:rsidRPr="00DF1B01">
        <w:rPr>
          <w:b/>
          <w:bCs/>
        </w:rPr>
        <w:tab/>
      </w:r>
      <w:r w:rsidRPr="001D63B1">
        <w:rPr>
          <w:b/>
          <w:bCs/>
        </w:rPr>
        <w:t>For VSAT types with electrical steering, or for VSAT types with hybrid mechanical and electrical steering (no matter it is declared as mechanical steering VSAT type or electrical steering VSAT type), beam steering is needed in the 3D minimum peak EIRP testing.</w:t>
      </w:r>
    </w:p>
    <w:p w14:paraId="47B91B54" w14:textId="77777777" w:rsidR="00E63B2E" w:rsidRPr="00587BB2" w:rsidRDefault="00E63B2E" w:rsidP="00E63B2E">
      <w:pPr>
        <w:spacing w:after="120"/>
        <w:ind w:left="1418" w:hanging="1418"/>
        <w:rPr>
          <w:b/>
          <w:bCs/>
          <w:lang w:eastAsia="zh-CN"/>
        </w:rPr>
      </w:pPr>
      <w:r>
        <w:rPr>
          <w:b/>
          <w:bCs/>
        </w:rPr>
        <w:t>Proposal 6</w:t>
      </w:r>
      <w:r w:rsidRPr="00DF1B01">
        <w:rPr>
          <w:b/>
          <w:bCs/>
        </w:rPr>
        <w:t>:</w:t>
      </w:r>
      <w:r w:rsidRPr="00DF1B01">
        <w:rPr>
          <w:b/>
          <w:bCs/>
        </w:rPr>
        <w:tab/>
      </w:r>
      <w:r>
        <w:rPr>
          <w:b/>
          <w:bCs/>
        </w:rPr>
        <w:t>Adopt beam lock according to the same principle as FR2 testing</w:t>
      </w:r>
      <w:r w:rsidRPr="001D63B1">
        <w:rPr>
          <w:b/>
          <w:bCs/>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F58EBAD" w14:textId="5BCDA384" w:rsidR="00553F1E" w:rsidRPr="00553F1E" w:rsidRDefault="00553F1E" w:rsidP="00553F1E">
      <w:pPr>
        <w:pStyle w:val="aff6"/>
        <w:numPr>
          <w:ilvl w:val="0"/>
          <w:numId w:val="39"/>
        </w:numPr>
        <w:overflowPunct/>
        <w:autoSpaceDE/>
        <w:autoSpaceDN/>
        <w:adjustRightInd/>
        <w:spacing w:line="240" w:lineRule="auto"/>
        <w:ind w:firstLineChars="0"/>
        <w:jc w:val="left"/>
        <w:textAlignment w:val="auto"/>
        <w:rPr>
          <w:lang w:val="en-US"/>
        </w:rPr>
      </w:pPr>
      <w:r w:rsidRPr="00553F1E">
        <w:rPr>
          <w:lang w:eastAsia="zh-CN"/>
        </w:rPr>
        <w:t>RP-252903</w:t>
      </w:r>
      <w:r>
        <w:rPr>
          <w:lang w:eastAsia="zh-CN"/>
        </w:rPr>
        <w:t xml:space="preserve">    </w:t>
      </w:r>
      <w:r w:rsidRPr="00553F1E">
        <w:rPr>
          <w:lang w:eastAsia="zh-CN"/>
        </w:rPr>
        <w:t>WID: Enhancement of UE OTA test method and requirements for NR</w:t>
      </w:r>
      <w:r>
        <w:rPr>
          <w:lang w:eastAsia="zh-CN"/>
        </w:rPr>
        <w:t xml:space="preserve">, </w:t>
      </w:r>
      <w:r>
        <w:rPr>
          <w:rFonts w:eastAsia="Malgun Gothic"/>
          <w:lang w:eastAsia="ko-KR"/>
        </w:rPr>
        <w:t>RAN#109</w:t>
      </w:r>
    </w:p>
    <w:p w14:paraId="2D6455D8" w14:textId="4135EADD" w:rsidR="00553F1E" w:rsidRPr="00553F1E" w:rsidRDefault="00553F1E" w:rsidP="00553F1E">
      <w:pPr>
        <w:pStyle w:val="aff6"/>
        <w:numPr>
          <w:ilvl w:val="0"/>
          <w:numId w:val="39"/>
        </w:numPr>
        <w:overflowPunct/>
        <w:autoSpaceDE/>
        <w:autoSpaceDN/>
        <w:adjustRightInd/>
        <w:spacing w:line="240" w:lineRule="auto"/>
        <w:ind w:firstLineChars="0"/>
        <w:jc w:val="left"/>
        <w:textAlignment w:val="auto"/>
        <w:rPr>
          <w:lang w:val="en-US"/>
        </w:rPr>
      </w:pPr>
      <w:r w:rsidRPr="00553F1E">
        <w:rPr>
          <w:lang w:val="en-US"/>
        </w:rPr>
        <w:t>R4-2514820</w:t>
      </w:r>
      <w:r>
        <w:rPr>
          <w:lang w:eastAsia="zh-CN"/>
        </w:rPr>
        <w:t xml:space="preserve">    </w:t>
      </w:r>
      <w:r w:rsidRPr="00553F1E">
        <w:rPr>
          <w:lang w:eastAsia="zh-CN"/>
        </w:rPr>
        <w:t>WF on NR_UE_OTA_Enh</w:t>
      </w:r>
      <w:r>
        <w:rPr>
          <w:lang w:eastAsia="zh-CN"/>
        </w:rPr>
        <w:t xml:space="preserve">, Eutelsat Group, </w:t>
      </w:r>
      <w:r>
        <w:rPr>
          <w:rFonts w:eastAsia="Malgun Gothic"/>
          <w:lang w:eastAsia="ko-KR"/>
        </w:rPr>
        <w:t>RAN4#116bis</w:t>
      </w:r>
    </w:p>
    <w:p w14:paraId="4FC7CEE4" w14:textId="00C9560F" w:rsidR="00553F1E" w:rsidRPr="00832D1C" w:rsidRDefault="00553F1E" w:rsidP="00173596">
      <w:pPr>
        <w:pStyle w:val="aff6"/>
        <w:numPr>
          <w:ilvl w:val="0"/>
          <w:numId w:val="39"/>
        </w:numPr>
        <w:spacing w:line="240" w:lineRule="auto"/>
        <w:ind w:leftChars="-10" w:left="340" w:firstLineChars="0"/>
        <w:jc w:val="left"/>
      </w:pPr>
      <w:r w:rsidRPr="00F8146D">
        <w:rPr>
          <w:rFonts w:eastAsiaTheme="minorEastAsia"/>
          <w:lang w:val="sv-SE" w:eastAsia="zh-CN"/>
        </w:rPr>
        <w:t>R4-2513876</w:t>
      </w:r>
      <w:r>
        <w:rPr>
          <w:lang w:eastAsia="zh-CN"/>
        </w:rPr>
        <w:t xml:space="preserve">    </w:t>
      </w:r>
      <w:r w:rsidRPr="00553F1E">
        <w:rPr>
          <w:lang w:eastAsia="zh-CN"/>
        </w:rPr>
        <w:t>Discussion on test method for NTN Ka and Ku bands</w:t>
      </w:r>
      <w:r>
        <w:rPr>
          <w:lang w:eastAsia="zh-CN"/>
        </w:rPr>
        <w:t xml:space="preserve">, Samsung, </w:t>
      </w:r>
      <w:r w:rsidRPr="00F8146D">
        <w:rPr>
          <w:rFonts w:eastAsia="Malgun Gothic"/>
          <w:lang w:eastAsia="ko-KR"/>
        </w:rPr>
        <w:t>RAN4#116bis</w:t>
      </w:r>
    </w:p>
    <w:sectPr w:rsidR="00553F1E" w:rsidRPr="00832D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AE93E" w14:textId="77777777" w:rsidR="00D81D69" w:rsidRDefault="00D81D69" w:rsidP="00FC2656">
      <w:pPr>
        <w:spacing w:after="0" w:line="240" w:lineRule="auto"/>
      </w:pPr>
      <w:r>
        <w:separator/>
      </w:r>
    </w:p>
  </w:endnote>
  <w:endnote w:type="continuationSeparator" w:id="0">
    <w:p w14:paraId="76519D47" w14:textId="77777777" w:rsidR="00D81D69" w:rsidRDefault="00D81D6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6EDC" w14:textId="77777777" w:rsidR="00D81D69" w:rsidRDefault="00D81D69" w:rsidP="00FC2656">
      <w:pPr>
        <w:spacing w:after="0" w:line="240" w:lineRule="auto"/>
      </w:pPr>
      <w:r>
        <w:separator/>
      </w:r>
    </w:p>
  </w:footnote>
  <w:footnote w:type="continuationSeparator" w:id="0">
    <w:p w14:paraId="3E0947E5" w14:textId="77777777" w:rsidR="00D81D69" w:rsidRDefault="00D81D6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3"/>
  </w:num>
  <w:num w:numId="3">
    <w:abstractNumId w:val="32"/>
  </w:num>
  <w:num w:numId="4">
    <w:abstractNumId w:val="11"/>
  </w:num>
  <w:num w:numId="5">
    <w:abstractNumId w:val="31"/>
  </w:num>
  <w:num w:numId="6">
    <w:abstractNumId w:val="28"/>
  </w:num>
  <w:num w:numId="7">
    <w:abstractNumId w:val="26"/>
  </w:num>
  <w:num w:numId="8">
    <w:abstractNumId w:val="30"/>
  </w:num>
  <w:num w:numId="9">
    <w:abstractNumId w:val="34"/>
  </w:num>
  <w:num w:numId="10">
    <w:abstractNumId w:val="17"/>
  </w:num>
  <w:num w:numId="11">
    <w:abstractNumId w:val="19"/>
  </w:num>
  <w:num w:numId="12">
    <w:abstractNumId w:val="4"/>
  </w:num>
  <w:num w:numId="13">
    <w:abstractNumId w:val="24"/>
  </w:num>
  <w:num w:numId="14">
    <w:abstractNumId w:val="2"/>
  </w:num>
  <w:num w:numId="15">
    <w:abstractNumId w:val="27"/>
  </w:num>
  <w:num w:numId="16">
    <w:abstractNumId w:val="1"/>
  </w:num>
  <w:num w:numId="17">
    <w:abstractNumId w:val="23"/>
  </w:num>
  <w:num w:numId="18">
    <w:abstractNumId w:val="14"/>
  </w:num>
  <w:num w:numId="19">
    <w:abstractNumId w:val="25"/>
  </w:num>
  <w:num w:numId="20">
    <w:abstractNumId w:val="3"/>
  </w:num>
  <w:num w:numId="21">
    <w:abstractNumId w:val="38"/>
  </w:num>
  <w:num w:numId="22">
    <w:abstractNumId w:val="13"/>
  </w:num>
  <w:num w:numId="23">
    <w:abstractNumId w:val="12"/>
  </w:num>
  <w:num w:numId="24">
    <w:abstractNumId w:val="6"/>
  </w:num>
  <w:num w:numId="25">
    <w:abstractNumId w:val="35"/>
  </w:num>
  <w:num w:numId="26">
    <w:abstractNumId w:val="15"/>
  </w:num>
  <w:num w:numId="27">
    <w:abstractNumId w:val="36"/>
  </w:num>
  <w:num w:numId="28">
    <w:abstractNumId w:val="16"/>
  </w:num>
  <w:num w:numId="29">
    <w:abstractNumId w:val="20"/>
  </w:num>
  <w:num w:numId="30">
    <w:abstractNumId w:val="21"/>
  </w:num>
  <w:num w:numId="31">
    <w:abstractNumId w:val="8"/>
  </w:num>
  <w:num w:numId="32">
    <w:abstractNumId w:val="29"/>
  </w:num>
  <w:num w:numId="33">
    <w:abstractNumId w:val="22"/>
  </w:num>
  <w:num w:numId="34">
    <w:abstractNumId w:val="7"/>
  </w:num>
  <w:num w:numId="35">
    <w:abstractNumId w:val="5"/>
  </w:num>
  <w:num w:numId="36">
    <w:abstractNumId w:val="0"/>
  </w:num>
  <w:num w:numId="37">
    <w:abstractNumId w:val="9"/>
  </w:num>
  <w:num w:numId="38">
    <w:abstractNumId w:val="10"/>
  </w:num>
  <w:num w:numId="39">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661A"/>
    <w:rsid w:val="000168EA"/>
    <w:rsid w:val="00020C56"/>
    <w:rsid w:val="0002417E"/>
    <w:rsid w:val="000258D4"/>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2A9"/>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6382"/>
    <w:rsid w:val="002272D7"/>
    <w:rsid w:val="0023062A"/>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87431"/>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4DEF"/>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2C6"/>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3F1E"/>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5826"/>
    <w:rsid w:val="005D6D31"/>
    <w:rsid w:val="005D73D4"/>
    <w:rsid w:val="005D7AF8"/>
    <w:rsid w:val="005E17BF"/>
    <w:rsid w:val="005E1E9B"/>
    <w:rsid w:val="005E366A"/>
    <w:rsid w:val="005E4386"/>
    <w:rsid w:val="005E45A4"/>
    <w:rsid w:val="005E471D"/>
    <w:rsid w:val="005E4A0C"/>
    <w:rsid w:val="005E4C2E"/>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5FAA"/>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16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2D1C"/>
    <w:rsid w:val="00833FAF"/>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66C"/>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E08"/>
    <w:rsid w:val="00970B6F"/>
    <w:rsid w:val="00970EE7"/>
    <w:rsid w:val="0097102B"/>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0166"/>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313"/>
    <w:rsid w:val="00B23B40"/>
    <w:rsid w:val="00B2472D"/>
    <w:rsid w:val="00B24CA0"/>
    <w:rsid w:val="00B25412"/>
    <w:rsid w:val="00B2549F"/>
    <w:rsid w:val="00B26252"/>
    <w:rsid w:val="00B266AA"/>
    <w:rsid w:val="00B27158"/>
    <w:rsid w:val="00B27BD3"/>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4F2"/>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0F4A"/>
    <w:rsid w:val="00CD13D3"/>
    <w:rsid w:val="00CD16D8"/>
    <w:rsid w:val="00CD1D26"/>
    <w:rsid w:val="00CD1E7C"/>
    <w:rsid w:val="00CD292F"/>
    <w:rsid w:val="00CD2D05"/>
    <w:rsid w:val="00CD305E"/>
    <w:rsid w:val="00CD307E"/>
    <w:rsid w:val="00CD331F"/>
    <w:rsid w:val="00CD40A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1D69"/>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3B2E"/>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3"/>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5</Pages>
  <Words>1548</Words>
  <Characters>8824</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192</cp:revision>
  <cp:lastPrinted>2019-04-25T01:09:00Z</cp:lastPrinted>
  <dcterms:created xsi:type="dcterms:W3CDTF">2025-09-26T05:24:00Z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